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465C" w14:textId="77777777" w:rsidR="00F604B9" w:rsidRDefault="00F604B9" w:rsidP="00F604B9">
      <w:pPr>
        <w:rPr>
          <w:lang w:val="en-GB"/>
        </w:rPr>
      </w:pPr>
    </w:p>
    <w:p w14:paraId="31DEE98D" w14:textId="5F06AD79" w:rsidR="00F604B9" w:rsidRDefault="00F604B9" w:rsidP="00F604B9">
      <w:pPr>
        <w:rPr>
          <w:lang w:val="en-GB"/>
        </w:rPr>
      </w:pPr>
      <w:r>
        <w:rPr>
          <w:lang w:val="en-GB"/>
        </w:rPr>
        <w:t xml:space="preserve">Supplement to </w:t>
      </w:r>
      <w:r w:rsidRPr="00F604B9">
        <w:rPr>
          <w:lang w:val="en-GB"/>
        </w:rPr>
        <w:t>Twelve-month SARS-CoV-2 antibody persistency in a Tyrolian Covid-19 cohort</w:t>
      </w:r>
    </w:p>
    <w:p w14:paraId="4FB28D8E" w14:textId="77777777" w:rsidR="00F604B9" w:rsidRDefault="00F604B9" w:rsidP="00F604B9">
      <w:pPr>
        <w:rPr>
          <w:lang w:val="en-GB"/>
        </w:rPr>
      </w:pPr>
    </w:p>
    <w:p w14:paraId="0FED576E" w14:textId="77777777" w:rsidR="00F604B9" w:rsidRPr="0074718F" w:rsidRDefault="00F604B9" w:rsidP="00F604B9">
      <w:pPr>
        <w:rPr>
          <w:lang w:val="en-GB"/>
        </w:rPr>
      </w:pPr>
    </w:p>
    <w:p w14:paraId="1F3FDE72" w14:textId="77777777" w:rsidR="00F604B9" w:rsidRPr="0074718F" w:rsidRDefault="00F604B9" w:rsidP="00F604B9">
      <w:pPr>
        <w:rPr>
          <w:b/>
          <w:bCs/>
          <w:lang w:val="en-GB"/>
        </w:rPr>
      </w:pPr>
      <w:r w:rsidRPr="0074718F">
        <w:rPr>
          <w:b/>
          <w:bCs/>
          <w:lang w:val="en-GB"/>
        </w:rPr>
        <w:t xml:space="preserve">Figure </w:t>
      </w:r>
      <w:r>
        <w:rPr>
          <w:b/>
          <w:bCs/>
          <w:lang w:val="en-GB"/>
        </w:rPr>
        <w:t>1S</w:t>
      </w:r>
    </w:p>
    <w:p w14:paraId="704579D4" w14:textId="77777777" w:rsidR="00F604B9" w:rsidRPr="0074718F" w:rsidRDefault="00F604B9" w:rsidP="00F604B9">
      <w:r w:rsidRPr="0074718F">
        <w:object w:dxaOrig="4450" w:dyaOrig="3208" w14:anchorId="1D10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pt;height:192.75pt;mso-width-percent:0;mso-height-percent:0;mso-width-percent:0;mso-height-percent:0" o:ole="">
            <v:imagedata r:id="rId4" o:title=""/>
          </v:shape>
          <o:OLEObject Type="Embed" ProgID="Prism6.Document" ShapeID="_x0000_i1025" DrawAspect="Content" ObjectID="_1694853556" r:id="rId5"/>
        </w:object>
      </w:r>
    </w:p>
    <w:p w14:paraId="345F9F9F" w14:textId="77777777" w:rsidR="00F604B9" w:rsidRPr="0074718F" w:rsidRDefault="00F604B9" w:rsidP="00F604B9">
      <w:pPr>
        <w:rPr>
          <w:lang w:val="en-GB"/>
        </w:rPr>
      </w:pPr>
      <w:r w:rsidRPr="0074718F">
        <w:rPr>
          <w:lang w:val="en-GB"/>
        </w:rPr>
        <w:t xml:space="preserve">Panel A: </w:t>
      </w:r>
      <w:proofErr w:type="spellStart"/>
      <w:r w:rsidRPr="0074718F">
        <w:rPr>
          <w:lang w:val="en-GB"/>
        </w:rPr>
        <w:t>Boxblots</w:t>
      </w:r>
      <w:proofErr w:type="spellEnd"/>
      <w:r w:rsidRPr="0074718F">
        <w:rPr>
          <w:lang w:val="en-GB"/>
        </w:rPr>
        <w:t xml:space="preserve"> of NCP IgG indices by sex and time points after infection. Red boxes indicate females and blue boxes male patients. Lines within boxes indicate median values and borders range from 25 to 75 percentiles. Whiskers span from minimums to maximums. T1: 1-2 months, T2: 3-4 months, T3: 6 months, T4: 12 months after SARS-CoV-2 infection.</w:t>
      </w:r>
    </w:p>
    <w:p w14:paraId="537B55ED" w14:textId="77777777" w:rsidR="00F604B9" w:rsidRPr="0074718F" w:rsidRDefault="00F604B9" w:rsidP="00F604B9">
      <w:pPr>
        <w:rPr>
          <w:lang w:val="en-GB"/>
        </w:rPr>
      </w:pPr>
    </w:p>
    <w:p w14:paraId="3D9C43A8" w14:textId="1E7E863B" w:rsidR="00F604B9" w:rsidRPr="00C2131C" w:rsidRDefault="00F604B9" w:rsidP="00F604B9">
      <w:pPr>
        <w:rPr>
          <w:lang w:val="en-GB"/>
        </w:rPr>
      </w:pPr>
      <w:r w:rsidRPr="0074718F">
        <w:rPr>
          <w:lang w:val="en-GB"/>
        </w:rPr>
        <w:t xml:space="preserve"> </w:t>
      </w:r>
      <w:r w:rsidR="00C2131C">
        <w:object w:dxaOrig="4645" w:dyaOrig="3208" w14:anchorId="0BAC72CA">
          <v:shape id="_x0000_i1026" type="#_x0000_t75" style="width:285pt;height:196.5pt" o:ole="">
            <v:imagedata r:id="rId6" o:title=""/>
          </v:shape>
          <o:OLEObject Type="Embed" ProgID="Prism6.Document" ShapeID="_x0000_i1026" DrawAspect="Content" ObjectID="_1694853557" r:id="rId7"/>
        </w:object>
      </w:r>
    </w:p>
    <w:p w14:paraId="2EDC66B7" w14:textId="77777777" w:rsidR="00F604B9" w:rsidRPr="0074718F" w:rsidRDefault="00F604B9" w:rsidP="00F604B9">
      <w:pPr>
        <w:rPr>
          <w:lang w:val="en-GB"/>
        </w:rPr>
      </w:pPr>
      <w:r w:rsidRPr="0074718F">
        <w:rPr>
          <w:lang w:val="en-GB"/>
        </w:rPr>
        <w:t xml:space="preserve">Panel B: </w:t>
      </w:r>
      <w:proofErr w:type="spellStart"/>
      <w:r w:rsidRPr="0074718F">
        <w:rPr>
          <w:lang w:val="en-GB"/>
        </w:rPr>
        <w:t>Boxblots</w:t>
      </w:r>
      <w:proofErr w:type="spellEnd"/>
      <w:r w:rsidRPr="0074718F">
        <w:rPr>
          <w:lang w:val="en-GB"/>
        </w:rPr>
        <w:t xml:space="preserve"> of S1 IgG RU/mL by sex and time points after infection. Red boxes indicate females and blue boxes male patients. Lines within boxes indicate median values and borders range from 25 to 75 percentiles. Whiskers span from minimums to maximums. T1: 1-2 months, T2: 3-4 months, T3: 6 months, T4: 12 months after SARS-CoV-2 infection.</w:t>
      </w:r>
    </w:p>
    <w:p w14:paraId="585D366C" w14:textId="77777777" w:rsidR="00F604B9" w:rsidRPr="0074718F" w:rsidRDefault="00F604B9" w:rsidP="00F604B9">
      <w:pPr>
        <w:rPr>
          <w:lang w:val="en-GB"/>
        </w:rPr>
      </w:pPr>
    </w:p>
    <w:p w14:paraId="0AFDB311" w14:textId="77777777" w:rsidR="00F604B9" w:rsidRPr="0074718F" w:rsidRDefault="00F604B9" w:rsidP="00F604B9">
      <w:r>
        <w:object w:dxaOrig="4563" w:dyaOrig="3248" w14:anchorId="7A6189E0">
          <v:shape id="_x0000_i1027" type="#_x0000_t75" style="width:317.25pt;height:226.5pt" o:ole="">
            <v:imagedata r:id="rId8" o:title=""/>
          </v:shape>
          <o:OLEObject Type="Embed" ProgID="Prism6.Document" ShapeID="_x0000_i1027" DrawAspect="Content" ObjectID="_1694853558" r:id="rId9"/>
        </w:object>
      </w:r>
    </w:p>
    <w:p w14:paraId="41CB40E2" w14:textId="77777777" w:rsidR="00F604B9" w:rsidRPr="0074718F" w:rsidRDefault="00F604B9" w:rsidP="00F604B9">
      <w:pPr>
        <w:rPr>
          <w:lang w:val="en-GB"/>
        </w:rPr>
      </w:pPr>
      <w:r w:rsidRPr="0074718F">
        <w:rPr>
          <w:lang w:val="en-GB"/>
        </w:rPr>
        <w:t xml:space="preserve">Panel C: </w:t>
      </w:r>
      <w:proofErr w:type="spellStart"/>
      <w:r w:rsidRPr="0074718F">
        <w:rPr>
          <w:lang w:val="en-GB"/>
        </w:rPr>
        <w:t>Boxblots</w:t>
      </w:r>
      <w:proofErr w:type="spellEnd"/>
      <w:r w:rsidRPr="0074718F">
        <w:rPr>
          <w:lang w:val="en-GB"/>
        </w:rPr>
        <w:t xml:space="preserve"> of RBD pan-</w:t>
      </w:r>
      <w:proofErr w:type="spellStart"/>
      <w:r w:rsidRPr="0074718F">
        <w:rPr>
          <w:lang w:val="en-GB"/>
        </w:rPr>
        <w:t>iG</w:t>
      </w:r>
      <w:proofErr w:type="spellEnd"/>
      <w:r w:rsidRPr="0074718F">
        <w:rPr>
          <w:lang w:val="en-GB"/>
        </w:rPr>
        <w:t xml:space="preserve"> indices by sex and time points after infection. Red boxes indicate females and blue boxes male patients. Lines within boxes indicate median values and borders range from 25 to 75 percentiles. Whiskers span from minimums to maximums. T1: 1-2 months, T2: 3-4 months, T3: 6 months, T4: 12 months after SARS-CoV-2 infection.</w:t>
      </w:r>
    </w:p>
    <w:p w14:paraId="2D84F04D" w14:textId="77777777" w:rsidR="00F604B9" w:rsidRDefault="00F604B9" w:rsidP="00F604B9">
      <w:pPr>
        <w:rPr>
          <w:lang w:val="en-GB"/>
        </w:rPr>
      </w:pPr>
    </w:p>
    <w:p w14:paraId="6003776A" w14:textId="77777777" w:rsidR="00F604B9" w:rsidRDefault="00F604B9" w:rsidP="00F604B9">
      <w:pPr>
        <w:rPr>
          <w:lang w:val="en-GB"/>
        </w:rPr>
      </w:pPr>
      <w:r>
        <w:rPr>
          <w:lang w:val="en-GB"/>
        </w:rPr>
        <w:t>Male versus female antibody responses</w:t>
      </w:r>
    </w:p>
    <w:p w14:paraId="0008F541" w14:textId="77777777" w:rsidR="00F604B9" w:rsidRDefault="00F604B9" w:rsidP="00F604B9">
      <w:pPr>
        <w:rPr>
          <w:lang w:val="en-GB"/>
        </w:rPr>
      </w:pPr>
      <w:r>
        <w:rPr>
          <w:lang w:val="en-GB"/>
        </w:rPr>
        <w:t>The longitudinal development of binding antibody titres differed between sexes as shown in the supplemental figure. NCP IgG antibody indices decreased stronger in female patients compared to males. Of 5 positive samples at T4 one (20%) was collected from a female participant. S1 IgG RU/mL decreased stronger in males with 5 of 15 samples (33%) reverting to negativity at T4 compared to 2 out of 14 (14%) females. In contrast, RBD pan-Ig indices were lower in female patients at T1 compared to males and increased over time whereas indices remained rather stable in males and were finally comparable at T4 in both sexes.</w:t>
      </w:r>
    </w:p>
    <w:p w14:paraId="64FC2EC0" w14:textId="017C4A09" w:rsidR="00CE0124" w:rsidRDefault="00F604B9">
      <w:pPr>
        <w:rPr>
          <w:lang w:val="en-GB"/>
        </w:rPr>
      </w:pPr>
      <w:r>
        <w:rPr>
          <w:lang w:val="en-GB"/>
        </w:rPr>
        <w:t xml:space="preserve">Of 13 female patients in whom </w:t>
      </w:r>
      <w:proofErr w:type="spellStart"/>
      <w:r>
        <w:rPr>
          <w:lang w:val="en-GB"/>
        </w:rPr>
        <w:t>NAb</w:t>
      </w:r>
      <w:proofErr w:type="spellEnd"/>
      <w:r>
        <w:rPr>
          <w:lang w:val="en-GB"/>
        </w:rPr>
        <w:t xml:space="preserve"> were tested at T4 12 (92%) had </w:t>
      </w:r>
      <w:proofErr w:type="spellStart"/>
      <w:r>
        <w:rPr>
          <w:lang w:val="en-GB"/>
        </w:rPr>
        <w:t>NAb</w:t>
      </w:r>
      <w:proofErr w:type="spellEnd"/>
      <w:r>
        <w:rPr>
          <w:lang w:val="en-GB"/>
        </w:rPr>
        <w:t xml:space="preserve"> against wild type, 9 (69%) against the alpha variant and 4 (30%) against the beta variant. Of 13 male patients 12 (92%) were </w:t>
      </w:r>
      <w:proofErr w:type="spellStart"/>
      <w:r>
        <w:rPr>
          <w:lang w:val="en-GB"/>
        </w:rPr>
        <w:t>NAb</w:t>
      </w:r>
      <w:proofErr w:type="spellEnd"/>
      <w:r>
        <w:rPr>
          <w:lang w:val="en-GB"/>
        </w:rPr>
        <w:t xml:space="preserve"> positive against wild type, 4 (31%) against the alpha variant, and 2 (15%) against the beta variant. This difference was independent of disease severity. Mild disease occurred in 12 (86%) and moderate disease in 2 (14%) of the female patients whereas mild disease course was seen in 7 (47%) and moderate disease in 8 (53%) male patients.</w:t>
      </w:r>
    </w:p>
    <w:p w14:paraId="1830EE00" w14:textId="2827285B" w:rsidR="00424E00" w:rsidRDefault="00424E00">
      <w:pPr>
        <w:rPr>
          <w:lang w:val="en-GB"/>
        </w:rPr>
      </w:pPr>
    </w:p>
    <w:p w14:paraId="167E255A" w14:textId="77777777" w:rsidR="007575F3" w:rsidRDefault="007575F3">
      <w:pPr>
        <w:rPr>
          <w:b/>
          <w:bCs/>
          <w:lang w:val="en-GB"/>
        </w:rPr>
      </w:pPr>
      <w:r>
        <w:rPr>
          <w:b/>
          <w:bCs/>
          <w:lang w:val="en-GB"/>
        </w:rPr>
        <w:br w:type="page"/>
      </w:r>
    </w:p>
    <w:p w14:paraId="0143EC70" w14:textId="4E726AF5" w:rsidR="00424E00" w:rsidRDefault="007774DF">
      <w:pPr>
        <w:rPr>
          <w:b/>
          <w:bCs/>
          <w:lang w:val="en-GB"/>
        </w:rPr>
      </w:pPr>
      <w:r>
        <w:rPr>
          <w:b/>
          <w:bCs/>
          <w:lang w:val="en-GB"/>
        </w:rPr>
        <w:lastRenderedPageBreak/>
        <w:t>Table S1: c</w:t>
      </w:r>
      <w:r w:rsidR="00424E00" w:rsidRPr="00F36B5D">
        <w:rPr>
          <w:b/>
          <w:bCs/>
          <w:lang w:val="en-GB"/>
        </w:rPr>
        <w:t>orrelations</w:t>
      </w:r>
    </w:p>
    <w:p w14:paraId="086EAC61" w14:textId="571D4913" w:rsidR="005C3116" w:rsidRPr="00F36B5D" w:rsidRDefault="005C3116">
      <w:pPr>
        <w:rPr>
          <w:b/>
          <w:bCs/>
          <w:lang w:val="en-GB"/>
        </w:rPr>
      </w:pPr>
      <w:r>
        <w:rPr>
          <w:lang w:val="en-GB"/>
        </w:rPr>
        <w:t>Correlation coefficients for NCP IgG indices by time points</w:t>
      </w:r>
    </w:p>
    <w:tbl>
      <w:tblPr>
        <w:tblStyle w:val="Tabellenraster"/>
        <w:tblW w:w="0" w:type="auto"/>
        <w:tblLook w:val="04A0" w:firstRow="1" w:lastRow="0" w:firstColumn="1" w:lastColumn="0" w:noHBand="0" w:noVBand="1"/>
      </w:tblPr>
      <w:tblGrid>
        <w:gridCol w:w="1812"/>
        <w:gridCol w:w="1812"/>
        <w:gridCol w:w="1813"/>
        <w:gridCol w:w="1813"/>
      </w:tblGrid>
      <w:tr w:rsidR="005C3116" w:rsidRPr="005C3116" w14:paraId="309FC833" w14:textId="77777777" w:rsidTr="005C3116">
        <w:tc>
          <w:tcPr>
            <w:tcW w:w="1812" w:type="dxa"/>
          </w:tcPr>
          <w:p w14:paraId="409830FE" w14:textId="77777777" w:rsidR="005C3116" w:rsidRPr="005C3116" w:rsidRDefault="005C3116" w:rsidP="00163158">
            <w:pPr>
              <w:rPr>
                <w:lang w:val="en-GB"/>
              </w:rPr>
            </w:pPr>
          </w:p>
        </w:tc>
        <w:tc>
          <w:tcPr>
            <w:tcW w:w="1812" w:type="dxa"/>
          </w:tcPr>
          <w:p w14:paraId="6DDB0079" w14:textId="77777777" w:rsidR="005C3116" w:rsidRPr="005C3116" w:rsidRDefault="005C3116" w:rsidP="00163158">
            <w:pPr>
              <w:rPr>
                <w:lang w:val="en-GB"/>
              </w:rPr>
            </w:pPr>
            <w:r w:rsidRPr="005C3116">
              <w:rPr>
                <w:lang w:val="en-GB"/>
              </w:rPr>
              <w:t>Months 3 - 4</w:t>
            </w:r>
          </w:p>
        </w:tc>
        <w:tc>
          <w:tcPr>
            <w:tcW w:w="1813" w:type="dxa"/>
          </w:tcPr>
          <w:p w14:paraId="05AE1041" w14:textId="77777777" w:rsidR="005C3116" w:rsidRPr="005C3116" w:rsidRDefault="005C3116" w:rsidP="00163158">
            <w:pPr>
              <w:rPr>
                <w:lang w:val="en-GB"/>
              </w:rPr>
            </w:pPr>
            <w:r w:rsidRPr="005C3116">
              <w:rPr>
                <w:lang w:val="en-GB"/>
              </w:rPr>
              <w:t>Month 6</w:t>
            </w:r>
          </w:p>
        </w:tc>
        <w:tc>
          <w:tcPr>
            <w:tcW w:w="1813" w:type="dxa"/>
          </w:tcPr>
          <w:p w14:paraId="01B24F7B" w14:textId="77777777" w:rsidR="005C3116" w:rsidRPr="005C3116" w:rsidRDefault="005C3116" w:rsidP="00163158">
            <w:pPr>
              <w:rPr>
                <w:lang w:val="en-GB"/>
              </w:rPr>
            </w:pPr>
            <w:r w:rsidRPr="005C3116">
              <w:rPr>
                <w:lang w:val="en-GB"/>
              </w:rPr>
              <w:t>Month 12</w:t>
            </w:r>
          </w:p>
        </w:tc>
      </w:tr>
      <w:tr w:rsidR="005C3116" w:rsidRPr="005C3116" w14:paraId="7C15E516" w14:textId="77777777" w:rsidTr="005C3116">
        <w:tc>
          <w:tcPr>
            <w:tcW w:w="1812" w:type="dxa"/>
          </w:tcPr>
          <w:p w14:paraId="7CD00DF0" w14:textId="77777777" w:rsidR="005C3116" w:rsidRPr="005C3116" w:rsidRDefault="005C3116" w:rsidP="00163158">
            <w:pPr>
              <w:rPr>
                <w:lang w:val="en-GB"/>
              </w:rPr>
            </w:pPr>
            <w:r w:rsidRPr="005C3116">
              <w:rPr>
                <w:lang w:val="en-GB"/>
              </w:rPr>
              <w:t>Months 1-2</w:t>
            </w:r>
          </w:p>
        </w:tc>
        <w:tc>
          <w:tcPr>
            <w:tcW w:w="1812" w:type="dxa"/>
          </w:tcPr>
          <w:p w14:paraId="0D7FB2B3" w14:textId="7CF206F0" w:rsidR="005C3116" w:rsidRPr="005C3116" w:rsidRDefault="005C3116" w:rsidP="00163158">
            <w:pPr>
              <w:rPr>
                <w:lang w:val="en-GB"/>
              </w:rPr>
            </w:pPr>
            <w:r w:rsidRPr="005C3116">
              <w:rPr>
                <w:lang w:val="en-GB"/>
              </w:rPr>
              <w:t>0,813</w:t>
            </w:r>
          </w:p>
        </w:tc>
        <w:tc>
          <w:tcPr>
            <w:tcW w:w="1813" w:type="dxa"/>
          </w:tcPr>
          <w:p w14:paraId="76F725A3" w14:textId="013FFEE0" w:rsidR="005C3116" w:rsidRPr="005C3116" w:rsidRDefault="005C3116" w:rsidP="00163158">
            <w:pPr>
              <w:rPr>
                <w:lang w:val="en-GB"/>
              </w:rPr>
            </w:pPr>
            <w:r w:rsidRPr="005C3116">
              <w:rPr>
                <w:lang w:val="en-GB"/>
              </w:rPr>
              <w:t>0,693</w:t>
            </w:r>
          </w:p>
        </w:tc>
        <w:tc>
          <w:tcPr>
            <w:tcW w:w="1813" w:type="dxa"/>
          </w:tcPr>
          <w:p w14:paraId="026BC94B" w14:textId="774F35E8" w:rsidR="005C3116" w:rsidRPr="005C3116" w:rsidRDefault="005C3116" w:rsidP="00163158">
            <w:pPr>
              <w:rPr>
                <w:lang w:val="en-GB"/>
              </w:rPr>
            </w:pPr>
            <w:r w:rsidRPr="005C3116">
              <w:rPr>
                <w:lang w:val="en-GB"/>
              </w:rPr>
              <w:t>0,64</w:t>
            </w:r>
            <w:r w:rsidR="000039C7">
              <w:rPr>
                <w:lang w:val="en-GB"/>
              </w:rPr>
              <w:t>5</w:t>
            </w:r>
          </w:p>
        </w:tc>
      </w:tr>
      <w:tr w:rsidR="005C3116" w:rsidRPr="005C3116" w14:paraId="778C22DF" w14:textId="77777777" w:rsidTr="005C3116">
        <w:tc>
          <w:tcPr>
            <w:tcW w:w="1812" w:type="dxa"/>
          </w:tcPr>
          <w:p w14:paraId="6F026897" w14:textId="77777777" w:rsidR="005C3116" w:rsidRPr="005C3116" w:rsidRDefault="005C3116" w:rsidP="00163158">
            <w:pPr>
              <w:rPr>
                <w:lang w:val="en-GB"/>
              </w:rPr>
            </w:pPr>
            <w:r w:rsidRPr="005C3116">
              <w:rPr>
                <w:lang w:val="en-GB"/>
              </w:rPr>
              <w:t>Months 3 - 4</w:t>
            </w:r>
          </w:p>
        </w:tc>
        <w:tc>
          <w:tcPr>
            <w:tcW w:w="1812" w:type="dxa"/>
          </w:tcPr>
          <w:p w14:paraId="45565B71" w14:textId="77777777" w:rsidR="005C3116" w:rsidRPr="005C3116" w:rsidRDefault="005C3116" w:rsidP="00163158">
            <w:pPr>
              <w:rPr>
                <w:lang w:val="en-GB"/>
              </w:rPr>
            </w:pPr>
          </w:p>
        </w:tc>
        <w:tc>
          <w:tcPr>
            <w:tcW w:w="1813" w:type="dxa"/>
          </w:tcPr>
          <w:p w14:paraId="1CFEDC03" w14:textId="76C23C2C" w:rsidR="005C3116" w:rsidRPr="005C3116" w:rsidRDefault="005C3116" w:rsidP="00163158">
            <w:pPr>
              <w:rPr>
                <w:lang w:val="en-GB"/>
              </w:rPr>
            </w:pPr>
            <w:r w:rsidRPr="005C3116">
              <w:rPr>
                <w:lang w:val="en-GB"/>
              </w:rPr>
              <w:t>0,688</w:t>
            </w:r>
          </w:p>
        </w:tc>
        <w:tc>
          <w:tcPr>
            <w:tcW w:w="1813" w:type="dxa"/>
          </w:tcPr>
          <w:p w14:paraId="784B3062" w14:textId="09768D73" w:rsidR="005C3116" w:rsidRPr="005C3116" w:rsidRDefault="005C3116" w:rsidP="00163158">
            <w:pPr>
              <w:rPr>
                <w:lang w:val="en-GB"/>
              </w:rPr>
            </w:pPr>
            <w:r w:rsidRPr="005C3116">
              <w:rPr>
                <w:lang w:val="en-GB"/>
              </w:rPr>
              <w:t>0,779</w:t>
            </w:r>
          </w:p>
        </w:tc>
      </w:tr>
      <w:tr w:rsidR="005C3116" w:rsidRPr="005C3116" w14:paraId="1D532111" w14:textId="77777777" w:rsidTr="005C3116">
        <w:tc>
          <w:tcPr>
            <w:tcW w:w="1812" w:type="dxa"/>
          </w:tcPr>
          <w:p w14:paraId="5622CE34" w14:textId="77777777" w:rsidR="005C3116" w:rsidRPr="005C3116" w:rsidRDefault="005C3116" w:rsidP="00163158">
            <w:pPr>
              <w:rPr>
                <w:lang w:val="en-GB"/>
              </w:rPr>
            </w:pPr>
            <w:r w:rsidRPr="005C3116">
              <w:rPr>
                <w:lang w:val="en-GB"/>
              </w:rPr>
              <w:t>Month 6</w:t>
            </w:r>
          </w:p>
        </w:tc>
        <w:tc>
          <w:tcPr>
            <w:tcW w:w="1812" w:type="dxa"/>
          </w:tcPr>
          <w:p w14:paraId="0AC882D0" w14:textId="11A32466" w:rsidR="005C3116" w:rsidRPr="005C3116" w:rsidRDefault="005C3116" w:rsidP="00163158">
            <w:pPr>
              <w:rPr>
                <w:lang w:val="en-GB"/>
              </w:rPr>
            </w:pPr>
          </w:p>
        </w:tc>
        <w:tc>
          <w:tcPr>
            <w:tcW w:w="1813" w:type="dxa"/>
          </w:tcPr>
          <w:p w14:paraId="494F0FE6" w14:textId="77777777" w:rsidR="005C3116" w:rsidRPr="005C3116" w:rsidRDefault="005C3116" w:rsidP="00163158">
            <w:pPr>
              <w:rPr>
                <w:lang w:val="en-GB"/>
              </w:rPr>
            </w:pPr>
          </w:p>
        </w:tc>
        <w:tc>
          <w:tcPr>
            <w:tcW w:w="1813" w:type="dxa"/>
          </w:tcPr>
          <w:p w14:paraId="7921B614" w14:textId="2B724A55" w:rsidR="005C3116" w:rsidRPr="005C3116" w:rsidRDefault="005C3116" w:rsidP="00163158">
            <w:pPr>
              <w:rPr>
                <w:lang w:val="en-GB"/>
              </w:rPr>
            </w:pPr>
            <w:r w:rsidRPr="005C3116">
              <w:rPr>
                <w:lang w:val="en-GB"/>
              </w:rPr>
              <w:t>0,422</w:t>
            </w:r>
          </w:p>
        </w:tc>
      </w:tr>
    </w:tbl>
    <w:p w14:paraId="2DD5C466" w14:textId="77777777" w:rsidR="005C3116" w:rsidRDefault="005C3116">
      <w:pPr>
        <w:rPr>
          <w:lang w:val="en-GB"/>
        </w:rPr>
      </w:pPr>
    </w:p>
    <w:p w14:paraId="03EF839F" w14:textId="2820F0FE" w:rsidR="000039C7" w:rsidRDefault="000039C7">
      <w:pPr>
        <w:rPr>
          <w:lang w:val="en-GB"/>
        </w:rPr>
      </w:pPr>
    </w:p>
    <w:p w14:paraId="0CF6205A" w14:textId="43F57E1B" w:rsidR="00053C47" w:rsidRDefault="00053C47" w:rsidP="00053C47">
      <w:pPr>
        <w:rPr>
          <w:lang w:val="en-GB"/>
        </w:rPr>
      </w:pPr>
      <w:r>
        <w:rPr>
          <w:lang w:val="en-GB"/>
        </w:rPr>
        <w:t>Correlation coefficients for S</w:t>
      </w:r>
      <w:r w:rsidR="00AF1734">
        <w:rPr>
          <w:lang w:val="en-GB"/>
        </w:rPr>
        <w:t>1 IgG RU/mL</w:t>
      </w:r>
      <w:r>
        <w:rPr>
          <w:lang w:val="en-GB"/>
        </w:rPr>
        <w:t xml:space="preserve"> by time points</w:t>
      </w:r>
    </w:p>
    <w:tbl>
      <w:tblPr>
        <w:tblStyle w:val="Tabellenraster"/>
        <w:tblW w:w="0" w:type="auto"/>
        <w:tblLook w:val="04A0" w:firstRow="1" w:lastRow="0" w:firstColumn="1" w:lastColumn="0" w:noHBand="0" w:noVBand="1"/>
      </w:tblPr>
      <w:tblGrid>
        <w:gridCol w:w="1812"/>
        <w:gridCol w:w="1812"/>
        <w:gridCol w:w="1813"/>
        <w:gridCol w:w="1813"/>
      </w:tblGrid>
      <w:tr w:rsidR="00053C47" w:rsidRPr="00053C47" w14:paraId="25A2AC30" w14:textId="77777777" w:rsidTr="00053C47">
        <w:tc>
          <w:tcPr>
            <w:tcW w:w="1812" w:type="dxa"/>
          </w:tcPr>
          <w:p w14:paraId="022C66A9" w14:textId="77777777" w:rsidR="00053C47" w:rsidRPr="00053C47" w:rsidRDefault="00053C47" w:rsidP="00E95D0A">
            <w:pPr>
              <w:rPr>
                <w:lang w:val="en-GB"/>
              </w:rPr>
            </w:pPr>
          </w:p>
        </w:tc>
        <w:tc>
          <w:tcPr>
            <w:tcW w:w="1812" w:type="dxa"/>
          </w:tcPr>
          <w:p w14:paraId="30FB987C" w14:textId="77777777" w:rsidR="00053C47" w:rsidRPr="00053C47" w:rsidRDefault="00053C47" w:rsidP="00E95D0A">
            <w:pPr>
              <w:rPr>
                <w:lang w:val="en-GB"/>
              </w:rPr>
            </w:pPr>
            <w:r w:rsidRPr="00053C47">
              <w:rPr>
                <w:lang w:val="en-GB"/>
              </w:rPr>
              <w:t>Months 3 - 4</w:t>
            </w:r>
          </w:p>
        </w:tc>
        <w:tc>
          <w:tcPr>
            <w:tcW w:w="1813" w:type="dxa"/>
          </w:tcPr>
          <w:p w14:paraId="3F158E29" w14:textId="77777777" w:rsidR="00053C47" w:rsidRPr="00053C47" w:rsidRDefault="00053C47" w:rsidP="00E95D0A">
            <w:pPr>
              <w:rPr>
                <w:lang w:val="en-GB"/>
              </w:rPr>
            </w:pPr>
            <w:r w:rsidRPr="00053C47">
              <w:rPr>
                <w:lang w:val="en-GB"/>
              </w:rPr>
              <w:t>Month 6</w:t>
            </w:r>
          </w:p>
        </w:tc>
        <w:tc>
          <w:tcPr>
            <w:tcW w:w="1813" w:type="dxa"/>
          </w:tcPr>
          <w:p w14:paraId="38FB8ED1" w14:textId="77777777" w:rsidR="00053C47" w:rsidRPr="00053C47" w:rsidRDefault="00053C47" w:rsidP="00E95D0A">
            <w:pPr>
              <w:rPr>
                <w:lang w:val="en-GB"/>
              </w:rPr>
            </w:pPr>
            <w:r w:rsidRPr="00053C47">
              <w:rPr>
                <w:lang w:val="en-GB"/>
              </w:rPr>
              <w:t>Month 12</w:t>
            </w:r>
          </w:p>
        </w:tc>
      </w:tr>
      <w:tr w:rsidR="00053C47" w:rsidRPr="00053C47" w14:paraId="7CEF581A" w14:textId="77777777" w:rsidTr="00053C47">
        <w:tc>
          <w:tcPr>
            <w:tcW w:w="1812" w:type="dxa"/>
          </w:tcPr>
          <w:p w14:paraId="6CB4731E" w14:textId="77777777" w:rsidR="00053C47" w:rsidRPr="00053C47" w:rsidRDefault="00053C47" w:rsidP="00E95D0A">
            <w:pPr>
              <w:rPr>
                <w:lang w:val="en-GB"/>
              </w:rPr>
            </w:pPr>
            <w:r w:rsidRPr="00053C47">
              <w:rPr>
                <w:lang w:val="en-GB"/>
              </w:rPr>
              <w:t>Months 1-2</w:t>
            </w:r>
          </w:p>
        </w:tc>
        <w:tc>
          <w:tcPr>
            <w:tcW w:w="1812" w:type="dxa"/>
          </w:tcPr>
          <w:p w14:paraId="686DEA1B" w14:textId="2D9C22B1" w:rsidR="00053C47" w:rsidRPr="00053C47" w:rsidRDefault="00053C47" w:rsidP="00E95D0A">
            <w:pPr>
              <w:rPr>
                <w:lang w:val="en-GB"/>
              </w:rPr>
            </w:pPr>
            <w:r w:rsidRPr="00053C47">
              <w:rPr>
                <w:lang w:val="en-GB"/>
              </w:rPr>
              <w:t>0,84</w:t>
            </w:r>
            <w:r w:rsidR="00AF1734">
              <w:rPr>
                <w:lang w:val="en-GB"/>
              </w:rPr>
              <w:t>9</w:t>
            </w:r>
          </w:p>
        </w:tc>
        <w:tc>
          <w:tcPr>
            <w:tcW w:w="1813" w:type="dxa"/>
          </w:tcPr>
          <w:p w14:paraId="5BBAF150" w14:textId="301F43F2" w:rsidR="00053C47" w:rsidRPr="00053C47" w:rsidRDefault="00053C47" w:rsidP="00E95D0A">
            <w:pPr>
              <w:rPr>
                <w:lang w:val="en-GB"/>
              </w:rPr>
            </w:pPr>
            <w:r w:rsidRPr="00053C47">
              <w:rPr>
                <w:lang w:val="en-GB"/>
              </w:rPr>
              <w:t>0,659</w:t>
            </w:r>
          </w:p>
        </w:tc>
        <w:tc>
          <w:tcPr>
            <w:tcW w:w="1813" w:type="dxa"/>
          </w:tcPr>
          <w:p w14:paraId="2DC86C4C" w14:textId="75ABC273" w:rsidR="00053C47" w:rsidRPr="00053C47" w:rsidRDefault="00053C47" w:rsidP="00E95D0A">
            <w:pPr>
              <w:rPr>
                <w:lang w:val="en-GB"/>
              </w:rPr>
            </w:pPr>
            <w:r w:rsidRPr="00053C47">
              <w:rPr>
                <w:lang w:val="en-GB"/>
              </w:rPr>
              <w:t>0,70</w:t>
            </w:r>
            <w:r w:rsidR="00AF1734">
              <w:rPr>
                <w:lang w:val="en-GB"/>
              </w:rPr>
              <w:t>8</w:t>
            </w:r>
          </w:p>
        </w:tc>
      </w:tr>
      <w:tr w:rsidR="00053C47" w:rsidRPr="00053C47" w14:paraId="4231271D" w14:textId="77777777" w:rsidTr="00053C47">
        <w:tc>
          <w:tcPr>
            <w:tcW w:w="1812" w:type="dxa"/>
          </w:tcPr>
          <w:p w14:paraId="0513DC01" w14:textId="77777777" w:rsidR="00053C47" w:rsidRPr="00053C47" w:rsidRDefault="00053C47" w:rsidP="00E95D0A">
            <w:pPr>
              <w:rPr>
                <w:lang w:val="en-GB"/>
              </w:rPr>
            </w:pPr>
            <w:r w:rsidRPr="00053C47">
              <w:rPr>
                <w:lang w:val="en-GB"/>
              </w:rPr>
              <w:t>Months 3 - 4</w:t>
            </w:r>
          </w:p>
        </w:tc>
        <w:tc>
          <w:tcPr>
            <w:tcW w:w="1812" w:type="dxa"/>
          </w:tcPr>
          <w:p w14:paraId="1FE0E87D" w14:textId="77777777" w:rsidR="00053C47" w:rsidRPr="00053C47" w:rsidRDefault="00053C47" w:rsidP="00E95D0A">
            <w:pPr>
              <w:rPr>
                <w:lang w:val="en-GB"/>
              </w:rPr>
            </w:pPr>
          </w:p>
        </w:tc>
        <w:tc>
          <w:tcPr>
            <w:tcW w:w="1813" w:type="dxa"/>
          </w:tcPr>
          <w:p w14:paraId="1243C546" w14:textId="6DA459FD" w:rsidR="00053C47" w:rsidRPr="00053C47" w:rsidRDefault="00053C47" w:rsidP="00E95D0A">
            <w:pPr>
              <w:rPr>
                <w:lang w:val="en-GB"/>
              </w:rPr>
            </w:pPr>
            <w:r w:rsidRPr="00053C47">
              <w:rPr>
                <w:lang w:val="en-GB"/>
              </w:rPr>
              <w:t>0,846</w:t>
            </w:r>
          </w:p>
        </w:tc>
        <w:tc>
          <w:tcPr>
            <w:tcW w:w="1813" w:type="dxa"/>
          </w:tcPr>
          <w:p w14:paraId="4CF3DB4E" w14:textId="08D7482D" w:rsidR="00053C47" w:rsidRPr="00053C47" w:rsidRDefault="00053C47" w:rsidP="00E95D0A">
            <w:pPr>
              <w:rPr>
                <w:lang w:val="en-GB"/>
              </w:rPr>
            </w:pPr>
            <w:r w:rsidRPr="00053C47">
              <w:rPr>
                <w:lang w:val="en-GB"/>
              </w:rPr>
              <w:t>0,818</w:t>
            </w:r>
          </w:p>
        </w:tc>
      </w:tr>
      <w:tr w:rsidR="00053C47" w:rsidRPr="00053C47" w14:paraId="67D3FA92" w14:textId="77777777" w:rsidTr="00053C47">
        <w:tc>
          <w:tcPr>
            <w:tcW w:w="1812" w:type="dxa"/>
          </w:tcPr>
          <w:p w14:paraId="72B64CF6" w14:textId="77777777" w:rsidR="00053C47" w:rsidRPr="00053C47" w:rsidRDefault="00053C47" w:rsidP="00E95D0A">
            <w:pPr>
              <w:rPr>
                <w:lang w:val="en-GB"/>
              </w:rPr>
            </w:pPr>
            <w:r w:rsidRPr="00053C47">
              <w:rPr>
                <w:lang w:val="en-GB"/>
              </w:rPr>
              <w:t>Month 6</w:t>
            </w:r>
          </w:p>
        </w:tc>
        <w:tc>
          <w:tcPr>
            <w:tcW w:w="1812" w:type="dxa"/>
          </w:tcPr>
          <w:p w14:paraId="3E572745" w14:textId="4B81C3CC" w:rsidR="00053C47" w:rsidRPr="00053C47" w:rsidRDefault="00053C47" w:rsidP="00E95D0A">
            <w:pPr>
              <w:rPr>
                <w:lang w:val="en-GB"/>
              </w:rPr>
            </w:pPr>
          </w:p>
        </w:tc>
        <w:tc>
          <w:tcPr>
            <w:tcW w:w="1813" w:type="dxa"/>
          </w:tcPr>
          <w:p w14:paraId="308A51F1" w14:textId="77777777" w:rsidR="00053C47" w:rsidRPr="00053C47" w:rsidRDefault="00053C47" w:rsidP="00E95D0A">
            <w:pPr>
              <w:rPr>
                <w:lang w:val="en-GB"/>
              </w:rPr>
            </w:pPr>
          </w:p>
        </w:tc>
        <w:tc>
          <w:tcPr>
            <w:tcW w:w="1813" w:type="dxa"/>
          </w:tcPr>
          <w:p w14:paraId="45765627" w14:textId="3173FDA7" w:rsidR="00A136E5" w:rsidRPr="00053C47" w:rsidRDefault="00053C47" w:rsidP="00E95D0A">
            <w:pPr>
              <w:rPr>
                <w:lang w:val="en-GB"/>
              </w:rPr>
            </w:pPr>
            <w:r w:rsidRPr="00053C47">
              <w:rPr>
                <w:lang w:val="en-GB"/>
              </w:rPr>
              <w:t>0,95</w:t>
            </w:r>
            <w:r w:rsidR="00A136E5">
              <w:rPr>
                <w:lang w:val="en-GB"/>
              </w:rPr>
              <w:t>3</w:t>
            </w:r>
          </w:p>
        </w:tc>
      </w:tr>
    </w:tbl>
    <w:p w14:paraId="22CBF90A" w14:textId="77777777" w:rsidR="00053C47" w:rsidRDefault="00053C47">
      <w:pPr>
        <w:rPr>
          <w:lang w:val="en-GB"/>
        </w:rPr>
      </w:pPr>
    </w:p>
    <w:p w14:paraId="3D05F1FB" w14:textId="77777777" w:rsidR="00053C47" w:rsidRDefault="00053C47">
      <w:pPr>
        <w:rPr>
          <w:lang w:val="en-GB"/>
        </w:rPr>
      </w:pPr>
    </w:p>
    <w:p w14:paraId="5E0D70CE" w14:textId="061DB719" w:rsidR="00240AA0" w:rsidRDefault="002913D3">
      <w:pPr>
        <w:rPr>
          <w:lang w:val="en-GB"/>
        </w:rPr>
      </w:pPr>
      <w:r>
        <w:rPr>
          <w:lang w:val="en-GB"/>
        </w:rPr>
        <w:t>Correlation coefficients for RBD pan Ig indices</w:t>
      </w:r>
      <w:r w:rsidR="00F36B5D">
        <w:rPr>
          <w:lang w:val="en-GB"/>
        </w:rPr>
        <w:t xml:space="preserve"> by time points</w:t>
      </w:r>
    </w:p>
    <w:tbl>
      <w:tblPr>
        <w:tblStyle w:val="Tabellenraster"/>
        <w:tblW w:w="0" w:type="auto"/>
        <w:tblLook w:val="04A0" w:firstRow="1" w:lastRow="0" w:firstColumn="1" w:lastColumn="0" w:noHBand="0" w:noVBand="1"/>
      </w:tblPr>
      <w:tblGrid>
        <w:gridCol w:w="1812"/>
        <w:gridCol w:w="1812"/>
        <w:gridCol w:w="1813"/>
        <w:gridCol w:w="1813"/>
      </w:tblGrid>
      <w:tr w:rsidR="00FF65BD" w:rsidRPr="00A25577" w14:paraId="3B2576EF" w14:textId="77777777" w:rsidTr="00A25577">
        <w:tc>
          <w:tcPr>
            <w:tcW w:w="1812" w:type="dxa"/>
          </w:tcPr>
          <w:p w14:paraId="5197A2B1" w14:textId="77777777" w:rsidR="00FF65BD" w:rsidRPr="00A25577" w:rsidRDefault="00FF65BD" w:rsidP="003A67F0">
            <w:pPr>
              <w:rPr>
                <w:lang w:val="en-GB"/>
              </w:rPr>
            </w:pPr>
          </w:p>
        </w:tc>
        <w:tc>
          <w:tcPr>
            <w:tcW w:w="1812" w:type="dxa"/>
          </w:tcPr>
          <w:p w14:paraId="3156A81B" w14:textId="77777777" w:rsidR="00FF65BD" w:rsidRPr="00A25577" w:rsidRDefault="00FF65BD" w:rsidP="003A67F0">
            <w:pPr>
              <w:rPr>
                <w:lang w:val="en-GB"/>
              </w:rPr>
            </w:pPr>
            <w:r w:rsidRPr="00A25577">
              <w:rPr>
                <w:lang w:val="en-GB"/>
              </w:rPr>
              <w:t>Months 3 - 4</w:t>
            </w:r>
          </w:p>
        </w:tc>
        <w:tc>
          <w:tcPr>
            <w:tcW w:w="1813" w:type="dxa"/>
          </w:tcPr>
          <w:p w14:paraId="647BD897" w14:textId="77777777" w:rsidR="00FF65BD" w:rsidRPr="00A25577" w:rsidRDefault="00FF65BD" w:rsidP="003A67F0">
            <w:pPr>
              <w:rPr>
                <w:lang w:val="en-GB"/>
              </w:rPr>
            </w:pPr>
            <w:r w:rsidRPr="00A25577">
              <w:rPr>
                <w:lang w:val="en-GB"/>
              </w:rPr>
              <w:t>Month 6</w:t>
            </w:r>
          </w:p>
        </w:tc>
        <w:tc>
          <w:tcPr>
            <w:tcW w:w="1813" w:type="dxa"/>
          </w:tcPr>
          <w:p w14:paraId="7E310F50" w14:textId="77777777" w:rsidR="00FF65BD" w:rsidRPr="00A25577" w:rsidRDefault="00FF65BD" w:rsidP="003A67F0">
            <w:pPr>
              <w:rPr>
                <w:lang w:val="en-GB"/>
              </w:rPr>
            </w:pPr>
            <w:r w:rsidRPr="00A25577">
              <w:rPr>
                <w:lang w:val="en-GB"/>
              </w:rPr>
              <w:t>Month 12</w:t>
            </w:r>
          </w:p>
        </w:tc>
      </w:tr>
      <w:tr w:rsidR="00FF65BD" w:rsidRPr="00A25577" w14:paraId="2B3D0CA2" w14:textId="77777777" w:rsidTr="00A25577">
        <w:tc>
          <w:tcPr>
            <w:tcW w:w="1812" w:type="dxa"/>
          </w:tcPr>
          <w:p w14:paraId="275086DE" w14:textId="77777777" w:rsidR="00FF65BD" w:rsidRPr="00A25577" w:rsidRDefault="00FF65BD" w:rsidP="003A67F0">
            <w:pPr>
              <w:rPr>
                <w:lang w:val="en-GB"/>
              </w:rPr>
            </w:pPr>
            <w:r w:rsidRPr="00A25577">
              <w:rPr>
                <w:lang w:val="en-GB"/>
              </w:rPr>
              <w:t>Months 1-2</w:t>
            </w:r>
          </w:p>
        </w:tc>
        <w:tc>
          <w:tcPr>
            <w:tcW w:w="1812" w:type="dxa"/>
          </w:tcPr>
          <w:p w14:paraId="1B316EFA" w14:textId="444D6E63" w:rsidR="00FF65BD" w:rsidRPr="00A25577" w:rsidRDefault="00FF65BD" w:rsidP="003A67F0">
            <w:pPr>
              <w:rPr>
                <w:lang w:val="en-GB"/>
              </w:rPr>
            </w:pPr>
            <w:r w:rsidRPr="00A25577">
              <w:rPr>
                <w:lang w:val="en-GB"/>
              </w:rPr>
              <w:t>0,73</w:t>
            </w:r>
            <w:r w:rsidR="000039C7">
              <w:rPr>
                <w:lang w:val="en-GB"/>
              </w:rPr>
              <w:t>4</w:t>
            </w:r>
          </w:p>
        </w:tc>
        <w:tc>
          <w:tcPr>
            <w:tcW w:w="1813" w:type="dxa"/>
          </w:tcPr>
          <w:p w14:paraId="527B320E" w14:textId="71D064B2" w:rsidR="00FF65BD" w:rsidRPr="00A25577" w:rsidRDefault="00FF65BD" w:rsidP="003A67F0">
            <w:pPr>
              <w:rPr>
                <w:lang w:val="en-GB"/>
              </w:rPr>
            </w:pPr>
            <w:r w:rsidRPr="00A25577">
              <w:rPr>
                <w:lang w:val="en-GB"/>
              </w:rPr>
              <w:t>0,603</w:t>
            </w:r>
          </w:p>
        </w:tc>
        <w:tc>
          <w:tcPr>
            <w:tcW w:w="1813" w:type="dxa"/>
          </w:tcPr>
          <w:p w14:paraId="5B3C16A1" w14:textId="3EE29332" w:rsidR="00FF65BD" w:rsidRPr="00A25577" w:rsidRDefault="00FF65BD" w:rsidP="003A67F0">
            <w:pPr>
              <w:rPr>
                <w:lang w:val="en-GB"/>
              </w:rPr>
            </w:pPr>
            <w:r w:rsidRPr="00A25577">
              <w:rPr>
                <w:lang w:val="en-GB"/>
              </w:rPr>
              <w:t>0,529</w:t>
            </w:r>
          </w:p>
        </w:tc>
      </w:tr>
      <w:tr w:rsidR="00FF65BD" w:rsidRPr="00A25577" w14:paraId="1B703C12" w14:textId="77777777" w:rsidTr="00A25577">
        <w:tc>
          <w:tcPr>
            <w:tcW w:w="1812" w:type="dxa"/>
          </w:tcPr>
          <w:p w14:paraId="601A7D23" w14:textId="77777777" w:rsidR="00FF65BD" w:rsidRPr="00A25577" w:rsidRDefault="00FF65BD" w:rsidP="003A67F0">
            <w:pPr>
              <w:rPr>
                <w:lang w:val="en-GB"/>
              </w:rPr>
            </w:pPr>
            <w:r w:rsidRPr="00A25577">
              <w:rPr>
                <w:lang w:val="en-GB"/>
              </w:rPr>
              <w:t>Months 3 - 4</w:t>
            </w:r>
          </w:p>
        </w:tc>
        <w:tc>
          <w:tcPr>
            <w:tcW w:w="1812" w:type="dxa"/>
          </w:tcPr>
          <w:p w14:paraId="6B649C30" w14:textId="77777777" w:rsidR="00FF65BD" w:rsidRPr="00A25577" w:rsidRDefault="00FF65BD" w:rsidP="003A67F0">
            <w:pPr>
              <w:rPr>
                <w:lang w:val="en-GB"/>
              </w:rPr>
            </w:pPr>
          </w:p>
        </w:tc>
        <w:tc>
          <w:tcPr>
            <w:tcW w:w="1813" w:type="dxa"/>
          </w:tcPr>
          <w:p w14:paraId="0DC8D45A" w14:textId="19F6B63F" w:rsidR="00FF65BD" w:rsidRPr="00A25577" w:rsidRDefault="00FF65BD" w:rsidP="003A67F0">
            <w:pPr>
              <w:rPr>
                <w:lang w:val="en-GB"/>
              </w:rPr>
            </w:pPr>
            <w:r w:rsidRPr="00A25577">
              <w:rPr>
                <w:lang w:val="en-GB"/>
              </w:rPr>
              <w:t>0,85</w:t>
            </w:r>
            <w:r w:rsidR="000039C7">
              <w:rPr>
                <w:lang w:val="en-GB"/>
              </w:rPr>
              <w:t>4</w:t>
            </w:r>
          </w:p>
        </w:tc>
        <w:tc>
          <w:tcPr>
            <w:tcW w:w="1813" w:type="dxa"/>
          </w:tcPr>
          <w:p w14:paraId="6C873E5C" w14:textId="37560548" w:rsidR="00FF65BD" w:rsidRPr="00A25577" w:rsidRDefault="00FF65BD" w:rsidP="003A67F0">
            <w:pPr>
              <w:rPr>
                <w:lang w:val="en-GB"/>
              </w:rPr>
            </w:pPr>
            <w:r w:rsidRPr="00A25577">
              <w:rPr>
                <w:lang w:val="en-GB"/>
              </w:rPr>
              <w:t>0,60</w:t>
            </w:r>
            <w:r w:rsidR="000039C7">
              <w:rPr>
                <w:lang w:val="en-GB"/>
              </w:rPr>
              <w:t>2</w:t>
            </w:r>
          </w:p>
        </w:tc>
      </w:tr>
      <w:tr w:rsidR="00FF65BD" w:rsidRPr="00A25577" w14:paraId="0D416C60" w14:textId="77777777" w:rsidTr="00A25577">
        <w:tc>
          <w:tcPr>
            <w:tcW w:w="1812" w:type="dxa"/>
          </w:tcPr>
          <w:p w14:paraId="3BBD40B4" w14:textId="77777777" w:rsidR="00FF65BD" w:rsidRPr="00A25577" w:rsidRDefault="00FF65BD" w:rsidP="003A67F0">
            <w:pPr>
              <w:rPr>
                <w:lang w:val="en-GB"/>
              </w:rPr>
            </w:pPr>
            <w:r w:rsidRPr="00A25577">
              <w:rPr>
                <w:lang w:val="en-GB"/>
              </w:rPr>
              <w:t>Month 6</w:t>
            </w:r>
          </w:p>
        </w:tc>
        <w:tc>
          <w:tcPr>
            <w:tcW w:w="1812" w:type="dxa"/>
          </w:tcPr>
          <w:p w14:paraId="3E32D896" w14:textId="656A8217" w:rsidR="00FF65BD" w:rsidRPr="00A25577" w:rsidRDefault="00FF65BD" w:rsidP="003A67F0">
            <w:pPr>
              <w:rPr>
                <w:lang w:val="en-GB"/>
              </w:rPr>
            </w:pPr>
          </w:p>
        </w:tc>
        <w:tc>
          <w:tcPr>
            <w:tcW w:w="1813" w:type="dxa"/>
          </w:tcPr>
          <w:p w14:paraId="3FABBD6C" w14:textId="77777777" w:rsidR="00FF65BD" w:rsidRPr="00A25577" w:rsidRDefault="00FF65BD" w:rsidP="003A67F0">
            <w:pPr>
              <w:rPr>
                <w:lang w:val="en-GB"/>
              </w:rPr>
            </w:pPr>
          </w:p>
        </w:tc>
        <w:tc>
          <w:tcPr>
            <w:tcW w:w="1813" w:type="dxa"/>
          </w:tcPr>
          <w:p w14:paraId="3A8EA44A" w14:textId="243AC169" w:rsidR="00FF65BD" w:rsidRPr="00A25577" w:rsidRDefault="00FF65BD" w:rsidP="003A67F0">
            <w:pPr>
              <w:rPr>
                <w:lang w:val="en-GB"/>
              </w:rPr>
            </w:pPr>
            <w:r w:rsidRPr="00A25577">
              <w:rPr>
                <w:lang w:val="en-GB"/>
              </w:rPr>
              <w:t>0,619</w:t>
            </w:r>
          </w:p>
        </w:tc>
      </w:tr>
    </w:tbl>
    <w:p w14:paraId="33509BB9" w14:textId="006BBA34" w:rsidR="00424E00" w:rsidRDefault="00424E00" w:rsidP="00A25577">
      <w:pPr>
        <w:rPr>
          <w:lang w:val="en-GB"/>
        </w:rPr>
      </w:pPr>
    </w:p>
    <w:p w14:paraId="3FD2FB76" w14:textId="1C05BBE8" w:rsidR="007575F3" w:rsidRDefault="007575F3" w:rsidP="00A25577">
      <w:pPr>
        <w:rPr>
          <w:lang w:val="en-GB"/>
        </w:rPr>
      </w:pPr>
    </w:p>
    <w:p w14:paraId="230670A6" w14:textId="24AAB139" w:rsidR="007575F3" w:rsidRDefault="007575F3" w:rsidP="00A25577">
      <w:pPr>
        <w:rPr>
          <w:lang w:val="en-GB"/>
        </w:rPr>
      </w:pPr>
      <w:r w:rsidRPr="00396C40">
        <w:rPr>
          <w:b/>
          <w:bCs/>
          <w:lang w:val="en-GB"/>
        </w:rPr>
        <w:t>Table S2</w:t>
      </w:r>
      <w:r w:rsidR="006026B7" w:rsidRPr="00396C40">
        <w:rPr>
          <w:b/>
          <w:bCs/>
          <w:lang w:val="en-GB"/>
        </w:rPr>
        <w:t>:</w:t>
      </w:r>
      <w:r w:rsidR="006026B7">
        <w:rPr>
          <w:lang w:val="en-GB"/>
        </w:rPr>
        <w:t xml:space="preserve"> Overlapping </w:t>
      </w:r>
      <w:r w:rsidR="005B11EC">
        <w:rPr>
          <w:lang w:val="en-GB"/>
        </w:rPr>
        <w:t xml:space="preserve">Spike </w:t>
      </w:r>
      <w:r w:rsidR="006026B7">
        <w:rPr>
          <w:lang w:val="en-GB"/>
        </w:rPr>
        <w:t>SNP across SA</w:t>
      </w:r>
      <w:r w:rsidR="005B11EC">
        <w:rPr>
          <w:lang w:val="en-GB"/>
        </w:rPr>
        <w:t>R</w:t>
      </w:r>
      <w:r w:rsidR="006026B7">
        <w:rPr>
          <w:lang w:val="en-GB"/>
        </w:rPr>
        <w:t>S-CoV-2 variants of concern</w:t>
      </w:r>
    </w:p>
    <w:tbl>
      <w:tblPr>
        <w:tblStyle w:val="Tabellenraster"/>
        <w:tblW w:w="0" w:type="auto"/>
        <w:tblLook w:val="04A0" w:firstRow="1" w:lastRow="0" w:firstColumn="1" w:lastColumn="0" w:noHBand="0" w:noVBand="1"/>
      </w:tblPr>
      <w:tblGrid>
        <w:gridCol w:w="1200"/>
        <w:gridCol w:w="880"/>
        <w:gridCol w:w="999"/>
        <w:gridCol w:w="880"/>
        <w:gridCol w:w="880"/>
        <w:gridCol w:w="880"/>
        <w:gridCol w:w="1006"/>
      </w:tblGrid>
      <w:tr w:rsidR="001F5B53" w:rsidRPr="00215994" w14:paraId="5063CD90" w14:textId="77777777" w:rsidTr="001F5B53">
        <w:trPr>
          <w:trHeight w:val="300"/>
        </w:trPr>
        <w:tc>
          <w:tcPr>
            <w:tcW w:w="1200" w:type="dxa"/>
            <w:vMerge w:val="restart"/>
            <w:noWrap/>
            <w:vAlign w:val="bottom"/>
          </w:tcPr>
          <w:p w14:paraId="482C393A" w14:textId="51F9C9A1" w:rsidR="001F5B53" w:rsidRPr="00215994" w:rsidRDefault="001F5B53" w:rsidP="001F5B53">
            <w:pPr>
              <w:jc w:val="center"/>
            </w:pPr>
            <w:r>
              <w:t>Variant</w:t>
            </w:r>
          </w:p>
        </w:tc>
        <w:tc>
          <w:tcPr>
            <w:tcW w:w="5525" w:type="dxa"/>
            <w:gridSpan w:val="6"/>
            <w:noWrap/>
          </w:tcPr>
          <w:p w14:paraId="1BACD493" w14:textId="2A19F3E9" w:rsidR="001F5B53" w:rsidRPr="00215994" w:rsidRDefault="001F5B53" w:rsidP="001F5B53">
            <w:pPr>
              <w:jc w:val="center"/>
            </w:pPr>
            <w:r>
              <w:t>SNP</w:t>
            </w:r>
          </w:p>
        </w:tc>
      </w:tr>
      <w:tr w:rsidR="001F5B53" w:rsidRPr="00215994" w14:paraId="0C3371E8" w14:textId="77777777" w:rsidTr="001801B7">
        <w:trPr>
          <w:trHeight w:val="300"/>
        </w:trPr>
        <w:tc>
          <w:tcPr>
            <w:tcW w:w="1200" w:type="dxa"/>
            <w:vMerge/>
            <w:noWrap/>
            <w:hideMark/>
          </w:tcPr>
          <w:p w14:paraId="3C5E0B4A" w14:textId="77777777" w:rsidR="001F5B53" w:rsidRPr="00215994" w:rsidRDefault="001F5B53"/>
        </w:tc>
        <w:tc>
          <w:tcPr>
            <w:tcW w:w="880" w:type="dxa"/>
            <w:noWrap/>
            <w:hideMark/>
          </w:tcPr>
          <w:p w14:paraId="7EE3F09E" w14:textId="77777777" w:rsidR="001F5B53" w:rsidRPr="00215994" w:rsidRDefault="001F5B53" w:rsidP="00215994">
            <w:r w:rsidRPr="00215994">
              <w:t>L18F</w:t>
            </w:r>
          </w:p>
        </w:tc>
        <w:tc>
          <w:tcPr>
            <w:tcW w:w="999" w:type="dxa"/>
            <w:shd w:val="clear" w:color="auto" w:fill="BDD6EE" w:themeFill="accent5" w:themeFillTint="66"/>
            <w:noWrap/>
            <w:hideMark/>
          </w:tcPr>
          <w:p w14:paraId="0992DC55" w14:textId="77777777" w:rsidR="001F5B53" w:rsidRPr="00215994" w:rsidRDefault="001F5B53" w:rsidP="00215994">
            <w:r w:rsidRPr="00215994">
              <w:t>K417N/T</w:t>
            </w:r>
          </w:p>
        </w:tc>
        <w:tc>
          <w:tcPr>
            <w:tcW w:w="880" w:type="dxa"/>
            <w:shd w:val="clear" w:color="auto" w:fill="BDD6EE" w:themeFill="accent5" w:themeFillTint="66"/>
            <w:noWrap/>
            <w:hideMark/>
          </w:tcPr>
          <w:p w14:paraId="621B50F7" w14:textId="77777777" w:rsidR="001F5B53" w:rsidRPr="00215994" w:rsidRDefault="001F5B53" w:rsidP="00215994">
            <w:r w:rsidRPr="00215994">
              <w:t>E484K</w:t>
            </w:r>
          </w:p>
        </w:tc>
        <w:tc>
          <w:tcPr>
            <w:tcW w:w="880" w:type="dxa"/>
            <w:shd w:val="clear" w:color="auto" w:fill="BDD6EE" w:themeFill="accent5" w:themeFillTint="66"/>
            <w:noWrap/>
            <w:hideMark/>
          </w:tcPr>
          <w:p w14:paraId="4CFDF463" w14:textId="77777777" w:rsidR="001F5B53" w:rsidRPr="00215994" w:rsidRDefault="001F5B53" w:rsidP="00215994">
            <w:r w:rsidRPr="00215994">
              <w:t>N501Y</w:t>
            </w:r>
          </w:p>
        </w:tc>
        <w:tc>
          <w:tcPr>
            <w:tcW w:w="880" w:type="dxa"/>
            <w:noWrap/>
            <w:hideMark/>
          </w:tcPr>
          <w:p w14:paraId="45955FF1" w14:textId="77777777" w:rsidR="001F5B53" w:rsidRPr="00215994" w:rsidRDefault="001F5B53" w:rsidP="00215994">
            <w:r w:rsidRPr="00215994">
              <w:t>D614G</w:t>
            </w:r>
          </w:p>
        </w:tc>
        <w:tc>
          <w:tcPr>
            <w:tcW w:w="1006" w:type="dxa"/>
            <w:noWrap/>
            <w:hideMark/>
          </w:tcPr>
          <w:p w14:paraId="0E8E828F" w14:textId="77777777" w:rsidR="001F5B53" w:rsidRPr="00215994" w:rsidRDefault="001F5B53" w:rsidP="00215994">
            <w:r w:rsidRPr="00215994">
              <w:t>P681H/R</w:t>
            </w:r>
          </w:p>
        </w:tc>
      </w:tr>
      <w:tr w:rsidR="00215994" w:rsidRPr="00215994" w14:paraId="783D8752" w14:textId="77777777" w:rsidTr="001801B7">
        <w:trPr>
          <w:trHeight w:val="300"/>
        </w:trPr>
        <w:tc>
          <w:tcPr>
            <w:tcW w:w="1200" w:type="dxa"/>
            <w:noWrap/>
            <w:hideMark/>
          </w:tcPr>
          <w:p w14:paraId="2CA58F79" w14:textId="77777777" w:rsidR="00215994" w:rsidRPr="00215994" w:rsidRDefault="00215994">
            <w:r w:rsidRPr="00215994">
              <w:t>Alpha</w:t>
            </w:r>
          </w:p>
        </w:tc>
        <w:tc>
          <w:tcPr>
            <w:tcW w:w="880" w:type="dxa"/>
            <w:noWrap/>
            <w:hideMark/>
          </w:tcPr>
          <w:p w14:paraId="667DE5A7" w14:textId="77777777" w:rsidR="00215994" w:rsidRPr="00215994" w:rsidRDefault="00215994"/>
        </w:tc>
        <w:tc>
          <w:tcPr>
            <w:tcW w:w="999" w:type="dxa"/>
            <w:shd w:val="clear" w:color="auto" w:fill="BDD6EE" w:themeFill="accent5" w:themeFillTint="66"/>
            <w:noWrap/>
            <w:hideMark/>
          </w:tcPr>
          <w:p w14:paraId="06E02990" w14:textId="77777777" w:rsidR="00215994" w:rsidRPr="00215994" w:rsidRDefault="00215994" w:rsidP="00215994"/>
        </w:tc>
        <w:tc>
          <w:tcPr>
            <w:tcW w:w="880" w:type="dxa"/>
            <w:shd w:val="clear" w:color="auto" w:fill="BDD6EE" w:themeFill="accent5" w:themeFillTint="66"/>
            <w:noWrap/>
            <w:hideMark/>
          </w:tcPr>
          <w:p w14:paraId="60A73062" w14:textId="77777777" w:rsidR="00215994" w:rsidRPr="00215994" w:rsidRDefault="00215994" w:rsidP="00215994"/>
        </w:tc>
        <w:tc>
          <w:tcPr>
            <w:tcW w:w="880" w:type="dxa"/>
            <w:shd w:val="clear" w:color="auto" w:fill="BDD6EE" w:themeFill="accent5" w:themeFillTint="66"/>
            <w:noWrap/>
            <w:hideMark/>
          </w:tcPr>
          <w:p w14:paraId="08F80CDA" w14:textId="77777777" w:rsidR="00215994" w:rsidRPr="00215994" w:rsidRDefault="00215994" w:rsidP="00215994">
            <w:r w:rsidRPr="00215994">
              <w:t>x</w:t>
            </w:r>
          </w:p>
        </w:tc>
        <w:tc>
          <w:tcPr>
            <w:tcW w:w="880" w:type="dxa"/>
            <w:noWrap/>
            <w:hideMark/>
          </w:tcPr>
          <w:p w14:paraId="2F11B43B" w14:textId="77777777" w:rsidR="00215994" w:rsidRPr="00215994" w:rsidRDefault="00215994" w:rsidP="00215994">
            <w:r w:rsidRPr="00215994">
              <w:t>x</w:t>
            </w:r>
          </w:p>
        </w:tc>
        <w:tc>
          <w:tcPr>
            <w:tcW w:w="1006" w:type="dxa"/>
            <w:noWrap/>
            <w:hideMark/>
          </w:tcPr>
          <w:p w14:paraId="553BF547" w14:textId="77777777" w:rsidR="00215994" w:rsidRPr="00215994" w:rsidRDefault="00215994" w:rsidP="00215994">
            <w:r w:rsidRPr="00215994">
              <w:t>x</w:t>
            </w:r>
          </w:p>
        </w:tc>
      </w:tr>
      <w:tr w:rsidR="00215994" w:rsidRPr="00215994" w14:paraId="5C89FC12" w14:textId="77777777" w:rsidTr="001801B7">
        <w:trPr>
          <w:trHeight w:val="300"/>
        </w:trPr>
        <w:tc>
          <w:tcPr>
            <w:tcW w:w="1200" w:type="dxa"/>
            <w:noWrap/>
            <w:hideMark/>
          </w:tcPr>
          <w:p w14:paraId="6B7D4F85" w14:textId="77777777" w:rsidR="00215994" w:rsidRPr="00215994" w:rsidRDefault="00215994">
            <w:r w:rsidRPr="00215994">
              <w:t>Beta</w:t>
            </w:r>
          </w:p>
        </w:tc>
        <w:tc>
          <w:tcPr>
            <w:tcW w:w="880" w:type="dxa"/>
            <w:noWrap/>
            <w:hideMark/>
          </w:tcPr>
          <w:p w14:paraId="41608F89" w14:textId="77777777" w:rsidR="00215994" w:rsidRPr="00215994" w:rsidRDefault="00215994" w:rsidP="00215994">
            <w:r w:rsidRPr="00215994">
              <w:t>x</w:t>
            </w:r>
          </w:p>
        </w:tc>
        <w:tc>
          <w:tcPr>
            <w:tcW w:w="999" w:type="dxa"/>
            <w:shd w:val="clear" w:color="auto" w:fill="BDD6EE" w:themeFill="accent5" w:themeFillTint="66"/>
            <w:noWrap/>
            <w:hideMark/>
          </w:tcPr>
          <w:p w14:paraId="306F5C1A" w14:textId="77777777" w:rsidR="00215994" w:rsidRPr="00215994" w:rsidRDefault="00215994" w:rsidP="00215994">
            <w:r w:rsidRPr="00215994">
              <w:t>x</w:t>
            </w:r>
          </w:p>
        </w:tc>
        <w:tc>
          <w:tcPr>
            <w:tcW w:w="880" w:type="dxa"/>
            <w:shd w:val="clear" w:color="auto" w:fill="BDD6EE" w:themeFill="accent5" w:themeFillTint="66"/>
            <w:noWrap/>
            <w:hideMark/>
          </w:tcPr>
          <w:p w14:paraId="3B2D2969" w14:textId="77777777" w:rsidR="00215994" w:rsidRPr="00215994" w:rsidRDefault="00215994" w:rsidP="00215994">
            <w:r w:rsidRPr="00215994">
              <w:t>x</w:t>
            </w:r>
          </w:p>
        </w:tc>
        <w:tc>
          <w:tcPr>
            <w:tcW w:w="880" w:type="dxa"/>
            <w:shd w:val="clear" w:color="auto" w:fill="BDD6EE" w:themeFill="accent5" w:themeFillTint="66"/>
            <w:noWrap/>
            <w:hideMark/>
          </w:tcPr>
          <w:p w14:paraId="4E9A846D" w14:textId="77777777" w:rsidR="00215994" w:rsidRPr="00215994" w:rsidRDefault="00215994" w:rsidP="00215994">
            <w:r w:rsidRPr="00215994">
              <w:t>x</w:t>
            </w:r>
          </w:p>
        </w:tc>
        <w:tc>
          <w:tcPr>
            <w:tcW w:w="880" w:type="dxa"/>
            <w:noWrap/>
            <w:hideMark/>
          </w:tcPr>
          <w:p w14:paraId="18D716ED" w14:textId="77777777" w:rsidR="00215994" w:rsidRPr="00215994" w:rsidRDefault="00215994" w:rsidP="00215994">
            <w:r w:rsidRPr="00215994">
              <w:t>x</w:t>
            </w:r>
          </w:p>
        </w:tc>
        <w:tc>
          <w:tcPr>
            <w:tcW w:w="1006" w:type="dxa"/>
            <w:noWrap/>
            <w:hideMark/>
          </w:tcPr>
          <w:p w14:paraId="0E9746F6" w14:textId="77777777" w:rsidR="00215994" w:rsidRPr="00215994" w:rsidRDefault="00215994" w:rsidP="00215994"/>
        </w:tc>
      </w:tr>
      <w:tr w:rsidR="00215994" w:rsidRPr="00215994" w14:paraId="4B8513BF" w14:textId="77777777" w:rsidTr="001801B7">
        <w:trPr>
          <w:trHeight w:val="300"/>
        </w:trPr>
        <w:tc>
          <w:tcPr>
            <w:tcW w:w="1200" w:type="dxa"/>
            <w:noWrap/>
            <w:hideMark/>
          </w:tcPr>
          <w:p w14:paraId="34981AED" w14:textId="77777777" w:rsidR="00215994" w:rsidRPr="00215994" w:rsidRDefault="00215994">
            <w:r w:rsidRPr="00215994">
              <w:t>Gamma</w:t>
            </w:r>
          </w:p>
        </w:tc>
        <w:tc>
          <w:tcPr>
            <w:tcW w:w="880" w:type="dxa"/>
            <w:noWrap/>
            <w:hideMark/>
          </w:tcPr>
          <w:p w14:paraId="4A4DCE83" w14:textId="77777777" w:rsidR="00215994" w:rsidRPr="00215994" w:rsidRDefault="00215994" w:rsidP="00215994">
            <w:r w:rsidRPr="00215994">
              <w:t>x</w:t>
            </w:r>
          </w:p>
        </w:tc>
        <w:tc>
          <w:tcPr>
            <w:tcW w:w="999" w:type="dxa"/>
            <w:shd w:val="clear" w:color="auto" w:fill="BDD6EE" w:themeFill="accent5" w:themeFillTint="66"/>
            <w:noWrap/>
            <w:hideMark/>
          </w:tcPr>
          <w:p w14:paraId="25F85E52" w14:textId="77777777" w:rsidR="00215994" w:rsidRPr="00215994" w:rsidRDefault="00215994" w:rsidP="00215994">
            <w:r w:rsidRPr="00215994">
              <w:t>x</w:t>
            </w:r>
          </w:p>
        </w:tc>
        <w:tc>
          <w:tcPr>
            <w:tcW w:w="880" w:type="dxa"/>
            <w:shd w:val="clear" w:color="auto" w:fill="BDD6EE" w:themeFill="accent5" w:themeFillTint="66"/>
            <w:noWrap/>
            <w:hideMark/>
          </w:tcPr>
          <w:p w14:paraId="44472464" w14:textId="77777777" w:rsidR="00215994" w:rsidRPr="00215994" w:rsidRDefault="00215994" w:rsidP="00215994">
            <w:r w:rsidRPr="00215994">
              <w:t>x</w:t>
            </w:r>
          </w:p>
        </w:tc>
        <w:tc>
          <w:tcPr>
            <w:tcW w:w="880" w:type="dxa"/>
            <w:shd w:val="clear" w:color="auto" w:fill="BDD6EE" w:themeFill="accent5" w:themeFillTint="66"/>
            <w:noWrap/>
            <w:hideMark/>
          </w:tcPr>
          <w:p w14:paraId="784BD76F" w14:textId="77777777" w:rsidR="00215994" w:rsidRPr="00215994" w:rsidRDefault="00215994" w:rsidP="00215994">
            <w:r w:rsidRPr="00215994">
              <w:t>x</w:t>
            </w:r>
          </w:p>
        </w:tc>
        <w:tc>
          <w:tcPr>
            <w:tcW w:w="880" w:type="dxa"/>
            <w:noWrap/>
            <w:hideMark/>
          </w:tcPr>
          <w:p w14:paraId="1094A5A1" w14:textId="77777777" w:rsidR="00215994" w:rsidRPr="00215994" w:rsidRDefault="00215994" w:rsidP="00215994">
            <w:r w:rsidRPr="00215994">
              <w:t>x</w:t>
            </w:r>
          </w:p>
        </w:tc>
        <w:tc>
          <w:tcPr>
            <w:tcW w:w="1006" w:type="dxa"/>
            <w:noWrap/>
            <w:hideMark/>
          </w:tcPr>
          <w:p w14:paraId="31A2BEF9" w14:textId="77777777" w:rsidR="00215994" w:rsidRPr="00215994" w:rsidRDefault="00215994" w:rsidP="00215994"/>
        </w:tc>
      </w:tr>
      <w:tr w:rsidR="00215994" w:rsidRPr="00215994" w14:paraId="09B84341" w14:textId="77777777" w:rsidTr="001801B7">
        <w:trPr>
          <w:trHeight w:val="300"/>
        </w:trPr>
        <w:tc>
          <w:tcPr>
            <w:tcW w:w="1200" w:type="dxa"/>
            <w:noWrap/>
            <w:hideMark/>
          </w:tcPr>
          <w:p w14:paraId="4B53768E" w14:textId="77777777" w:rsidR="00215994" w:rsidRPr="00215994" w:rsidRDefault="00215994">
            <w:r w:rsidRPr="00215994">
              <w:t>Delta</w:t>
            </w:r>
          </w:p>
        </w:tc>
        <w:tc>
          <w:tcPr>
            <w:tcW w:w="880" w:type="dxa"/>
            <w:noWrap/>
            <w:hideMark/>
          </w:tcPr>
          <w:p w14:paraId="5BF7FC34" w14:textId="77777777" w:rsidR="00215994" w:rsidRPr="00215994" w:rsidRDefault="00215994"/>
        </w:tc>
        <w:tc>
          <w:tcPr>
            <w:tcW w:w="999" w:type="dxa"/>
            <w:shd w:val="clear" w:color="auto" w:fill="BDD6EE" w:themeFill="accent5" w:themeFillTint="66"/>
            <w:noWrap/>
            <w:hideMark/>
          </w:tcPr>
          <w:p w14:paraId="53932FD4" w14:textId="77777777" w:rsidR="00215994" w:rsidRPr="00215994" w:rsidRDefault="00215994" w:rsidP="00215994">
            <w:r w:rsidRPr="00215994">
              <w:t>x</w:t>
            </w:r>
          </w:p>
        </w:tc>
        <w:tc>
          <w:tcPr>
            <w:tcW w:w="880" w:type="dxa"/>
            <w:shd w:val="clear" w:color="auto" w:fill="BDD6EE" w:themeFill="accent5" w:themeFillTint="66"/>
            <w:noWrap/>
            <w:hideMark/>
          </w:tcPr>
          <w:p w14:paraId="509EC928" w14:textId="77777777" w:rsidR="00215994" w:rsidRPr="00215994" w:rsidRDefault="00215994" w:rsidP="00215994"/>
        </w:tc>
        <w:tc>
          <w:tcPr>
            <w:tcW w:w="880" w:type="dxa"/>
            <w:shd w:val="clear" w:color="auto" w:fill="BDD6EE" w:themeFill="accent5" w:themeFillTint="66"/>
            <w:noWrap/>
            <w:hideMark/>
          </w:tcPr>
          <w:p w14:paraId="7697E802" w14:textId="77777777" w:rsidR="00215994" w:rsidRPr="00215994" w:rsidRDefault="00215994" w:rsidP="00215994"/>
        </w:tc>
        <w:tc>
          <w:tcPr>
            <w:tcW w:w="880" w:type="dxa"/>
            <w:noWrap/>
            <w:hideMark/>
          </w:tcPr>
          <w:p w14:paraId="3CAC84D2" w14:textId="77777777" w:rsidR="00215994" w:rsidRPr="00215994" w:rsidRDefault="00215994" w:rsidP="00215994">
            <w:r w:rsidRPr="00215994">
              <w:t>x</w:t>
            </w:r>
          </w:p>
        </w:tc>
        <w:tc>
          <w:tcPr>
            <w:tcW w:w="1006" w:type="dxa"/>
            <w:noWrap/>
            <w:hideMark/>
          </w:tcPr>
          <w:p w14:paraId="41703BF0" w14:textId="77777777" w:rsidR="00215994" w:rsidRPr="00215994" w:rsidRDefault="00215994" w:rsidP="00215994">
            <w:r w:rsidRPr="00215994">
              <w:t>x</w:t>
            </w:r>
          </w:p>
        </w:tc>
      </w:tr>
    </w:tbl>
    <w:p w14:paraId="701AB935" w14:textId="30F3E8FF" w:rsidR="006026B7" w:rsidRDefault="006026B7" w:rsidP="00A25577">
      <w:pPr>
        <w:rPr>
          <w:lang w:val="en-GB"/>
        </w:rPr>
      </w:pPr>
    </w:p>
    <w:p w14:paraId="183E5C3A" w14:textId="123FBFD8" w:rsidR="00396C40" w:rsidRDefault="00396C40" w:rsidP="00A25577">
      <w:pPr>
        <w:rPr>
          <w:lang w:val="en-GB"/>
        </w:rPr>
      </w:pPr>
      <w:r>
        <w:rPr>
          <w:lang w:val="en-GB"/>
        </w:rPr>
        <w:t xml:space="preserve">Current variants of concern with </w:t>
      </w:r>
      <w:r w:rsidR="001C6935">
        <w:rPr>
          <w:lang w:val="en-GB"/>
        </w:rPr>
        <w:t>overlapping spike mutations only. Mutations that occur in only one of the variants are not shown.</w:t>
      </w:r>
      <w:r w:rsidR="00F355A6">
        <w:rPr>
          <w:lang w:val="en-GB"/>
        </w:rPr>
        <w:t xml:space="preserve"> </w:t>
      </w:r>
      <w:r w:rsidR="007B2982">
        <w:rPr>
          <w:lang w:val="en-GB"/>
        </w:rPr>
        <w:t xml:space="preserve">Mutations in the RBD region are highlighted in light blue. </w:t>
      </w:r>
      <w:r w:rsidR="00BA3521">
        <w:rPr>
          <w:lang w:val="en-GB"/>
        </w:rPr>
        <w:t>Data o</w:t>
      </w:r>
      <w:r w:rsidR="008B6B1F">
        <w:rPr>
          <w:lang w:val="en-GB"/>
        </w:rPr>
        <w:t xml:space="preserve">btained from </w:t>
      </w:r>
      <w:proofErr w:type="spellStart"/>
      <w:r w:rsidR="009C2030" w:rsidRPr="009C2030">
        <w:rPr>
          <w:lang w:val="en-GB"/>
        </w:rPr>
        <w:t>Centers</w:t>
      </w:r>
      <w:proofErr w:type="spellEnd"/>
      <w:r w:rsidR="009C2030" w:rsidRPr="009C2030">
        <w:rPr>
          <w:lang w:val="en-GB"/>
        </w:rPr>
        <w:t xml:space="preserve"> for Disease Control and Prevention</w:t>
      </w:r>
      <w:r w:rsidR="009C2030">
        <w:rPr>
          <w:lang w:val="en-GB"/>
        </w:rPr>
        <w:t xml:space="preserve"> (</w:t>
      </w:r>
      <w:hyperlink r:id="rId10" w:history="1">
        <w:r w:rsidR="009C2030" w:rsidRPr="00146428">
          <w:rPr>
            <w:rStyle w:val="Hyperlink"/>
            <w:lang w:val="en-GB"/>
          </w:rPr>
          <w:t>https://www.cdc.gov/coronavirus/2019-ncov/variants/variant-info.html</w:t>
        </w:r>
      </w:hyperlink>
      <w:r w:rsidR="009C2030">
        <w:rPr>
          <w:lang w:val="en-GB"/>
        </w:rPr>
        <w:t xml:space="preserve">), accessed on </w:t>
      </w:r>
      <w:r w:rsidR="007E6273">
        <w:rPr>
          <w:lang w:val="en-GB"/>
        </w:rPr>
        <w:t>28</w:t>
      </w:r>
      <w:r w:rsidR="009C2030">
        <w:rPr>
          <w:lang w:val="en-GB"/>
        </w:rPr>
        <w:t xml:space="preserve"> </w:t>
      </w:r>
      <w:r w:rsidR="007E6273">
        <w:rPr>
          <w:lang w:val="en-GB"/>
        </w:rPr>
        <w:t>September</w:t>
      </w:r>
      <w:r w:rsidR="009C2030">
        <w:rPr>
          <w:lang w:val="en-GB"/>
        </w:rPr>
        <w:t xml:space="preserve"> 2021.</w:t>
      </w:r>
    </w:p>
    <w:p w14:paraId="2FAF5E94" w14:textId="77777777" w:rsidR="00B732DC" w:rsidRDefault="00B732DC" w:rsidP="00A25577">
      <w:pPr>
        <w:rPr>
          <w:lang w:val="en-GB"/>
        </w:rPr>
      </w:pPr>
    </w:p>
    <w:p w14:paraId="55DAD0B9" w14:textId="77777777" w:rsidR="008B6B1F" w:rsidRPr="00F604B9" w:rsidRDefault="008B6B1F" w:rsidP="00A25577">
      <w:pPr>
        <w:rPr>
          <w:lang w:val="en-GB"/>
        </w:rPr>
      </w:pPr>
    </w:p>
    <w:sectPr w:rsidR="008B6B1F" w:rsidRPr="00F604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B9"/>
    <w:rsid w:val="000039C7"/>
    <w:rsid w:val="00053C47"/>
    <w:rsid w:val="001801B7"/>
    <w:rsid w:val="001C6935"/>
    <w:rsid w:val="001F5B53"/>
    <w:rsid w:val="00215994"/>
    <w:rsid w:val="00240AA0"/>
    <w:rsid w:val="002913D3"/>
    <w:rsid w:val="00396C40"/>
    <w:rsid w:val="00424E00"/>
    <w:rsid w:val="005B002E"/>
    <w:rsid w:val="005B11EC"/>
    <w:rsid w:val="005C3116"/>
    <w:rsid w:val="006026B7"/>
    <w:rsid w:val="007575F3"/>
    <w:rsid w:val="00776A06"/>
    <w:rsid w:val="007774DF"/>
    <w:rsid w:val="007B2982"/>
    <w:rsid w:val="007E6273"/>
    <w:rsid w:val="008B6B1F"/>
    <w:rsid w:val="00914625"/>
    <w:rsid w:val="009C2030"/>
    <w:rsid w:val="00A136E5"/>
    <w:rsid w:val="00A25577"/>
    <w:rsid w:val="00AF1734"/>
    <w:rsid w:val="00B732DC"/>
    <w:rsid w:val="00BA3521"/>
    <w:rsid w:val="00C2131C"/>
    <w:rsid w:val="00CE0124"/>
    <w:rsid w:val="00F355A6"/>
    <w:rsid w:val="00F36B5D"/>
    <w:rsid w:val="00F36B64"/>
    <w:rsid w:val="00F604B9"/>
    <w:rsid w:val="00FA6E16"/>
    <w:rsid w:val="00FF65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2838A0"/>
  <w15:chartTrackingRefBased/>
  <w15:docId w15:val="{5D0DB617-0294-4547-A6C2-C7D6CFA5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4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6B1F"/>
    <w:rPr>
      <w:color w:val="0563C1" w:themeColor="hyperlink"/>
      <w:u w:val="single"/>
    </w:rPr>
  </w:style>
  <w:style w:type="character" w:styleId="NichtaufgelsteErwhnung">
    <w:name w:val="Unresolved Mention"/>
    <w:basedOn w:val="Absatz-Standardschriftart"/>
    <w:uiPriority w:val="99"/>
    <w:semiHidden/>
    <w:unhideWhenUsed/>
    <w:rsid w:val="008B6B1F"/>
    <w:rPr>
      <w:color w:val="605E5C"/>
      <w:shd w:val="clear" w:color="auto" w:fill="E1DFDD"/>
    </w:rPr>
  </w:style>
  <w:style w:type="character" w:styleId="BesuchterLink">
    <w:name w:val="FollowedHyperlink"/>
    <w:basedOn w:val="Absatz-Standardschriftart"/>
    <w:uiPriority w:val="99"/>
    <w:semiHidden/>
    <w:unhideWhenUsed/>
    <w:rsid w:val="00BA3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s://www.cdc.gov/coronavirus/2019-ncov/variants/variant-info.html" TargetMode="Externa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Florian</cp:lastModifiedBy>
  <cp:revision>34</cp:revision>
  <dcterms:created xsi:type="dcterms:W3CDTF">2021-06-24T08:57:00Z</dcterms:created>
  <dcterms:modified xsi:type="dcterms:W3CDTF">2021-10-04T09:52:00Z</dcterms:modified>
</cp:coreProperties>
</file>