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6E" w:rsidRPr="002B66A0" w:rsidRDefault="009C218A">
      <w:pPr>
        <w:rPr>
          <w:lang w:val="en-US"/>
        </w:rPr>
      </w:pPr>
      <w:bookmarkStart w:id="0" w:name="_Hlk532910957"/>
      <w:r w:rsidRPr="00687DA4"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3</w:t>
      </w:r>
      <w:r w:rsidRPr="00687DA4">
        <w:rPr>
          <w:b/>
          <w:szCs w:val="24"/>
          <w:lang w:val="en-US"/>
        </w:rPr>
        <w:t xml:space="preserve"> Table vaccination rate </w:t>
      </w:r>
      <w:r>
        <w:rPr>
          <w:b/>
          <w:szCs w:val="24"/>
          <w:lang w:val="en-US"/>
        </w:rPr>
        <w:t xml:space="preserve">of individual vaccines </w:t>
      </w:r>
      <w:r w:rsidRPr="00687DA4">
        <w:rPr>
          <w:b/>
          <w:szCs w:val="24"/>
          <w:lang w:val="en-US"/>
        </w:rPr>
        <w:t>in surveyed adults</w:t>
      </w:r>
      <w:r>
        <w:rPr>
          <w:b/>
          <w:szCs w:val="24"/>
          <w:lang w:val="en-US"/>
        </w:rPr>
        <w:t xml:space="preserve">, as well as </w:t>
      </w:r>
      <w:r w:rsidRPr="00687DA4">
        <w:rPr>
          <w:b/>
          <w:lang w:val="en-US"/>
        </w:rPr>
        <w:t xml:space="preserve">OR and 95% confidence </w:t>
      </w:r>
      <w:r>
        <w:rPr>
          <w:b/>
          <w:lang w:val="en-US"/>
        </w:rPr>
        <w:t>interval of having been vaccinated</w:t>
      </w:r>
      <w:r w:rsidRPr="00687DA4">
        <w:rPr>
          <w:b/>
          <w:lang w:val="en-US"/>
        </w:rPr>
        <w:t xml:space="preserve"> by age, sex, education, and knowledge score</w:t>
      </w:r>
      <w:bookmarkEnd w:id="0"/>
    </w:p>
    <w:tbl>
      <w:tblPr>
        <w:tblStyle w:val="Tabellenraster"/>
        <w:tblW w:w="8652" w:type="dxa"/>
        <w:tblLook w:val="04A0" w:firstRow="1" w:lastRow="0" w:firstColumn="1" w:lastColumn="0" w:noHBand="0" w:noVBand="1"/>
      </w:tblPr>
      <w:tblGrid>
        <w:gridCol w:w="1559"/>
        <w:gridCol w:w="1059"/>
        <w:gridCol w:w="1835"/>
        <w:gridCol w:w="1453"/>
        <w:gridCol w:w="1319"/>
        <w:gridCol w:w="1427"/>
      </w:tblGrid>
      <w:tr w:rsidR="002B66A0" w:rsidRPr="001029BE" w:rsidTr="009B5DDC">
        <w:tc>
          <w:tcPr>
            <w:tcW w:w="15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Vaccination</w:t>
            </w:r>
          </w:p>
        </w:tc>
        <w:tc>
          <w:tcPr>
            <w:tcW w:w="10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Total %</w:t>
            </w:r>
          </w:p>
        </w:tc>
        <w:tc>
          <w:tcPr>
            <w:tcW w:w="1835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age</w:t>
            </w:r>
            <w:r w:rsidR="000C2D1D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(years)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453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sex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31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education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OR (95% CI)</w:t>
            </w:r>
          </w:p>
        </w:tc>
        <w:tc>
          <w:tcPr>
            <w:tcW w:w="1427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knowledge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br/>
              <w:t>OR (95% CI)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  <w:vertAlign w:val="superscript"/>
              </w:rPr>
              <w:t>a</w:t>
            </w:r>
          </w:p>
        </w:tc>
      </w:tr>
      <w:tr w:rsidR="002B66A0" w:rsidRPr="001029BE" w:rsidTr="009B5DDC">
        <w:tc>
          <w:tcPr>
            <w:tcW w:w="1559" w:type="dxa"/>
          </w:tcPr>
          <w:p w:rsidR="002B66A0" w:rsidRPr="003D40BA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Diphtheria</w:t>
            </w:r>
          </w:p>
        </w:tc>
        <w:tc>
          <w:tcPr>
            <w:tcW w:w="10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33.5</w:t>
            </w:r>
          </w:p>
        </w:tc>
        <w:tc>
          <w:tcPr>
            <w:tcW w:w="1835" w:type="dxa"/>
          </w:tcPr>
          <w:p w:rsidR="002B66A0" w:rsidRDefault="0013100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131004" w:rsidRPr="001029BE" w:rsidRDefault="0013100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1.85 (0.68-5.08)</w:t>
            </w:r>
          </w:p>
        </w:tc>
        <w:tc>
          <w:tcPr>
            <w:tcW w:w="1453" w:type="dxa"/>
          </w:tcPr>
          <w:p w:rsidR="002B66A0" w:rsidRDefault="0013100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131004" w:rsidRPr="001029BE" w:rsidRDefault="0013100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0.87 (0.50-1.51)</w:t>
            </w:r>
          </w:p>
        </w:tc>
        <w:tc>
          <w:tcPr>
            <w:tcW w:w="1319" w:type="dxa"/>
          </w:tcPr>
          <w:p w:rsidR="002B66A0" w:rsidRDefault="0013100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131004" w:rsidRPr="001029BE" w:rsidRDefault="0013100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0.99 (0.42-2.35)</w:t>
            </w:r>
          </w:p>
        </w:tc>
        <w:tc>
          <w:tcPr>
            <w:tcW w:w="1427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1.39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680"/>
              </w:tabs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(1.18-1.63)</w:t>
            </w:r>
          </w:p>
        </w:tc>
      </w:tr>
      <w:tr w:rsidR="00131004" w:rsidRPr="001029BE" w:rsidTr="009B5DDC">
        <w:tc>
          <w:tcPr>
            <w:tcW w:w="1559" w:type="dxa"/>
          </w:tcPr>
          <w:p w:rsidR="00131004" w:rsidRPr="003D40BA" w:rsidRDefault="00131004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131004" w:rsidRPr="001029BE" w:rsidRDefault="00131004" w:rsidP="009B5DDC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25-39</w:t>
            </w:r>
          </w:p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1.91 (0.87-4.22)</w:t>
            </w:r>
          </w:p>
        </w:tc>
        <w:tc>
          <w:tcPr>
            <w:tcW w:w="1453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131004" w:rsidRPr="001029BE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</w:p>
          <w:p w:rsidR="00131004" w:rsidRPr="001029BE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1.42 (0.69-2.91)</w:t>
            </w:r>
          </w:p>
        </w:tc>
        <w:tc>
          <w:tcPr>
            <w:tcW w:w="1427" w:type="dxa"/>
          </w:tcPr>
          <w:p w:rsidR="00131004" w:rsidRPr="001029BE" w:rsidRDefault="00131004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131004" w:rsidRPr="001029BE" w:rsidTr="009B5DDC">
        <w:tc>
          <w:tcPr>
            <w:tcW w:w="1559" w:type="dxa"/>
          </w:tcPr>
          <w:p w:rsidR="00131004" w:rsidRPr="003D40BA" w:rsidRDefault="00131004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131004" w:rsidRPr="001029BE" w:rsidRDefault="00131004" w:rsidP="009B5DDC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1.73 (0.84-3.56)</w:t>
            </w:r>
          </w:p>
        </w:tc>
        <w:tc>
          <w:tcPr>
            <w:tcW w:w="1453" w:type="dxa"/>
          </w:tcPr>
          <w:p w:rsidR="00131004" w:rsidRPr="001029BE" w:rsidRDefault="00131004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131004" w:rsidRPr="001029BE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1.11 (0.48-2.56)</w:t>
            </w:r>
          </w:p>
        </w:tc>
        <w:tc>
          <w:tcPr>
            <w:tcW w:w="1427" w:type="dxa"/>
          </w:tcPr>
          <w:p w:rsidR="00131004" w:rsidRPr="001029BE" w:rsidRDefault="00131004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131004" w:rsidRPr="001029BE" w:rsidTr="009B5DDC">
        <w:tc>
          <w:tcPr>
            <w:tcW w:w="1559" w:type="dxa"/>
          </w:tcPr>
          <w:p w:rsidR="00131004" w:rsidRPr="003D40BA" w:rsidRDefault="00131004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131004" w:rsidRPr="001029BE" w:rsidRDefault="00131004" w:rsidP="009B5DDC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131004" w:rsidRPr="001029BE" w:rsidRDefault="00131004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131004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131004" w:rsidRPr="001029BE" w:rsidRDefault="0013100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131004" w:rsidRPr="001029BE" w:rsidRDefault="00131004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2B66A0" w:rsidRPr="001029BE" w:rsidTr="009B5DDC">
        <w:tc>
          <w:tcPr>
            <w:tcW w:w="1559" w:type="dxa"/>
          </w:tcPr>
          <w:p w:rsidR="002B66A0" w:rsidRPr="003D40BA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Tetanus</w:t>
            </w:r>
          </w:p>
        </w:tc>
        <w:tc>
          <w:tcPr>
            <w:tcW w:w="10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58.7</w:t>
            </w:r>
          </w:p>
        </w:tc>
        <w:tc>
          <w:tcPr>
            <w:tcW w:w="1835" w:type="dxa"/>
          </w:tcPr>
          <w:p w:rsidR="002B66A0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81E74" w:rsidRPr="001029BE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1.40 (0.54-3.62)</w:t>
            </w:r>
          </w:p>
        </w:tc>
        <w:tc>
          <w:tcPr>
            <w:tcW w:w="1453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0.42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(0.24-0.73)</w:t>
            </w:r>
          </w:p>
        </w:tc>
        <w:tc>
          <w:tcPr>
            <w:tcW w:w="1319" w:type="dxa"/>
          </w:tcPr>
          <w:p w:rsidR="002B66A0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81E74" w:rsidRPr="001029BE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1.55 (0.68-3.51)</w:t>
            </w:r>
          </w:p>
        </w:tc>
        <w:tc>
          <w:tcPr>
            <w:tcW w:w="1427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1.29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(1.10-1.52)</w:t>
            </w:r>
          </w:p>
        </w:tc>
      </w:tr>
      <w:tr w:rsidR="002B66A0" w:rsidRPr="001029BE" w:rsidTr="009B5DDC">
        <w:tc>
          <w:tcPr>
            <w:tcW w:w="1559" w:type="dxa"/>
          </w:tcPr>
          <w:p w:rsidR="002B66A0" w:rsidRPr="003D40BA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2B66A0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D81E74" w:rsidRPr="001029BE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0.68 (0.33-1.40)</w:t>
            </w:r>
          </w:p>
        </w:tc>
        <w:tc>
          <w:tcPr>
            <w:tcW w:w="1453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2B66A0" w:rsidRPr="00295D6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2B66A0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SLE</w:t>
            </w:r>
          </w:p>
          <w:p w:rsidR="00D81E74" w:rsidRPr="001029BE" w:rsidRDefault="00D81E74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1.37 (0.67-2.77)</w:t>
            </w:r>
          </w:p>
        </w:tc>
        <w:tc>
          <w:tcPr>
            <w:tcW w:w="1427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8409AB" w:rsidRPr="001029BE" w:rsidTr="009B5DDC">
        <w:tc>
          <w:tcPr>
            <w:tcW w:w="1559" w:type="dxa"/>
          </w:tcPr>
          <w:p w:rsidR="008409AB" w:rsidRPr="003D40BA" w:rsidRDefault="008409AB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8409AB" w:rsidRPr="001029BE" w:rsidRDefault="008409AB" w:rsidP="009B5DDC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8409AB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D81E74" w:rsidRPr="001029BE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1.18 (0.60-2.31)</w:t>
            </w:r>
          </w:p>
        </w:tc>
        <w:tc>
          <w:tcPr>
            <w:tcW w:w="1453" w:type="dxa"/>
          </w:tcPr>
          <w:p w:rsidR="008409AB" w:rsidRPr="001029BE" w:rsidRDefault="008409AB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8409AB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D81E74" w:rsidRPr="001029BE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0.80 (0.36-1.80)</w:t>
            </w:r>
          </w:p>
        </w:tc>
        <w:tc>
          <w:tcPr>
            <w:tcW w:w="1427" w:type="dxa"/>
          </w:tcPr>
          <w:p w:rsidR="008409AB" w:rsidRPr="001029BE" w:rsidRDefault="008409AB" w:rsidP="009B5DDC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8409AB" w:rsidRPr="001029BE" w:rsidTr="009B5DDC">
        <w:tc>
          <w:tcPr>
            <w:tcW w:w="1559" w:type="dxa"/>
          </w:tcPr>
          <w:p w:rsidR="008409AB" w:rsidRPr="003D40BA" w:rsidRDefault="008409AB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8409AB" w:rsidRPr="001029BE" w:rsidRDefault="008409AB" w:rsidP="009B5DDC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8409AB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D81E74" w:rsidRPr="001029BE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8409AB" w:rsidRPr="001029BE" w:rsidRDefault="008409AB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8409AB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D81E74" w:rsidRPr="001029BE" w:rsidRDefault="00D81E74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8409AB" w:rsidRPr="001029BE" w:rsidRDefault="008409AB" w:rsidP="009B5DDC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2B66A0" w:rsidRPr="001029BE" w:rsidTr="009B5DDC">
        <w:tc>
          <w:tcPr>
            <w:tcW w:w="1559" w:type="dxa"/>
          </w:tcPr>
          <w:p w:rsidR="002B66A0" w:rsidRPr="003D40BA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Pertussis</w:t>
            </w:r>
          </w:p>
        </w:tc>
        <w:tc>
          <w:tcPr>
            <w:tcW w:w="10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  <w:r w:rsidRPr="001029BE"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15.5</w:t>
            </w:r>
          </w:p>
        </w:tc>
        <w:tc>
          <w:tcPr>
            <w:tcW w:w="1835" w:type="dxa"/>
          </w:tcPr>
          <w:p w:rsidR="002B66A0" w:rsidRDefault="0086339E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86339E" w:rsidRPr="001029BE" w:rsidRDefault="0086339E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1.10 (0.29-4.19)</w:t>
            </w:r>
          </w:p>
        </w:tc>
        <w:tc>
          <w:tcPr>
            <w:tcW w:w="1453" w:type="dxa"/>
          </w:tcPr>
          <w:p w:rsidR="002B66A0" w:rsidRDefault="0086339E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86339E" w:rsidRPr="001029BE" w:rsidRDefault="0086339E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1.02 (0.48-2.15)</w:t>
            </w:r>
          </w:p>
        </w:tc>
        <w:tc>
          <w:tcPr>
            <w:tcW w:w="1319" w:type="dxa"/>
          </w:tcPr>
          <w:p w:rsidR="002B66A0" w:rsidRDefault="0086339E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86339E" w:rsidRPr="001029BE" w:rsidRDefault="0086339E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0.59 (0.21-1.62)</w:t>
            </w:r>
          </w:p>
        </w:tc>
        <w:tc>
          <w:tcPr>
            <w:tcW w:w="1427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1.4</w:t>
            </w:r>
            <w:r w:rsidR="0086339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3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(1.17-1.75)</w:t>
            </w:r>
          </w:p>
        </w:tc>
      </w:tr>
      <w:tr w:rsidR="0086339E" w:rsidRPr="001029BE" w:rsidTr="009B5DDC">
        <w:tc>
          <w:tcPr>
            <w:tcW w:w="1559" w:type="dxa"/>
          </w:tcPr>
          <w:p w:rsidR="0086339E" w:rsidRPr="003D40BA" w:rsidRDefault="0086339E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86339E" w:rsidRPr="001029BE" w:rsidRDefault="0086339E" w:rsidP="009B5DDC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835" w:type="dxa"/>
          </w:tcPr>
          <w:p w:rsidR="0086339E" w:rsidRDefault="0086339E" w:rsidP="008633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86339E" w:rsidRDefault="0086339E" w:rsidP="0086339E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1.58 (0.62-4.07)</w:t>
            </w:r>
          </w:p>
        </w:tc>
        <w:tc>
          <w:tcPr>
            <w:tcW w:w="1453" w:type="dxa"/>
          </w:tcPr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86339E" w:rsidRPr="001029B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</w:p>
          <w:p w:rsidR="0086339E" w:rsidRPr="001029B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0.44 (0.19-1.05)</w:t>
            </w:r>
          </w:p>
        </w:tc>
        <w:tc>
          <w:tcPr>
            <w:tcW w:w="1427" w:type="dxa"/>
          </w:tcPr>
          <w:p w:rsidR="0086339E" w:rsidRPr="001029BE" w:rsidRDefault="0086339E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86339E" w:rsidRPr="001029BE" w:rsidTr="009B5DDC">
        <w:tc>
          <w:tcPr>
            <w:tcW w:w="1559" w:type="dxa"/>
          </w:tcPr>
          <w:p w:rsidR="0086339E" w:rsidRPr="003D40BA" w:rsidRDefault="0086339E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86339E" w:rsidRPr="001029BE" w:rsidRDefault="0086339E" w:rsidP="009B5DDC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835" w:type="dxa"/>
          </w:tcPr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0.80 (0.32-1.99)</w:t>
            </w:r>
          </w:p>
        </w:tc>
        <w:tc>
          <w:tcPr>
            <w:tcW w:w="1453" w:type="dxa"/>
          </w:tcPr>
          <w:p w:rsidR="0086339E" w:rsidRPr="001029BE" w:rsidRDefault="0086339E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86339E" w:rsidRPr="001029B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0.61 (0.22-1.67)</w:t>
            </w:r>
          </w:p>
        </w:tc>
        <w:tc>
          <w:tcPr>
            <w:tcW w:w="1427" w:type="dxa"/>
          </w:tcPr>
          <w:p w:rsidR="0086339E" w:rsidRPr="001029BE" w:rsidRDefault="0086339E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86339E" w:rsidRPr="001029BE" w:rsidTr="009B5DDC">
        <w:tc>
          <w:tcPr>
            <w:tcW w:w="1559" w:type="dxa"/>
          </w:tcPr>
          <w:p w:rsidR="0086339E" w:rsidRPr="003D40BA" w:rsidRDefault="0086339E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86339E" w:rsidRPr="001029BE" w:rsidRDefault="0086339E" w:rsidP="009B5DDC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835" w:type="dxa"/>
          </w:tcPr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86339E" w:rsidRPr="001029BE" w:rsidRDefault="0086339E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86339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86339E" w:rsidRPr="001029BE" w:rsidRDefault="0086339E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86339E" w:rsidRPr="001029BE" w:rsidRDefault="0086339E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2B66A0" w:rsidRPr="001029BE" w:rsidTr="009B5DDC">
        <w:tc>
          <w:tcPr>
            <w:tcW w:w="1559" w:type="dxa"/>
          </w:tcPr>
          <w:p w:rsidR="002B66A0" w:rsidRPr="003D40BA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Poliomyelitis</w:t>
            </w:r>
          </w:p>
        </w:tc>
        <w:tc>
          <w:tcPr>
            <w:tcW w:w="1059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  <w:r w:rsidRPr="001029BE"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16.6</w:t>
            </w:r>
          </w:p>
        </w:tc>
        <w:tc>
          <w:tcPr>
            <w:tcW w:w="1835" w:type="dxa"/>
          </w:tcPr>
          <w:p w:rsidR="00E022A5" w:rsidRDefault="00E022A5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E022A5" w:rsidRPr="001029BE" w:rsidRDefault="00E022A5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2.18 (0.63-7.48)</w:t>
            </w:r>
          </w:p>
        </w:tc>
        <w:tc>
          <w:tcPr>
            <w:tcW w:w="1453" w:type="dxa"/>
          </w:tcPr>
          <w:p w:rsidR="002B66A0" w:rsidRDefault="00E022A5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E022A5" w:rsidRPr="001029BE" w:rsidRDefault="00E022A5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0.70 (0.35-1.39)</w:t>
            </w:r>
          </w:p>
        </w:tc>
        <w:tc>
          <w:tcPr>
            <w:tcW w:w="1319" w:type="dxa"/>
          </w:tcPr>
          <w:p w:rsidR="002B66A0" w:rsidRDefault="00E022A5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E022A5" w:rsidRPr="001029BE" w:rsidRDefault="00E022A5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0.55 (0.18-1.67)</w:t>
            </w:r>
          </w:p>
        </w:tc>
        <w:tc>
          <w:tcPr>
            <w:tcW w:w="1427" w:type="dxa"/>
          </w:tcPr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1.24</w:t>
            </w:r>
          </w:p>
          <w:p w:rsidR="002B66A0" w:rsidRPr="001029BE" w:rsidRDefault="002B66A0" w:rsidP="009B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(1.02-1.51)</w:t>
            </w:r>
          </w:p>
        </w:tc>
      </w:tr>
      <w:tr w:rsidR="00E022A5" w:rsidRPr="001029BE" w:rsidTr="009B5DDC">
        <w:tc>
          <w:tcPr>
            <w:tcW w:w="1559" w:type="dxa"/>
          </w:tcPr>
          <w:p w:rsidR="00E022A5" w:rsidRPr="003D40BA" w:rsidRDefault="00E022A5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E022A5" w:rsidRPr="001029BE" w:rsidRDefault="00E022A5" w:rsidP="009B5DDC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835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25-39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1.26 (0.45-3.55)</w:t>
            </w:r>
          </w:p>
        </w:tc>
        <w:tc>
          <w:tcPr>
            <w:tcW w:w="1453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0.67 (0.29-1.57)</w:t>
            </w:r>
          </w:p>
        </w:tc>
        <w:tc>
          <w:tcPr>
            <w:tcW w:w="1427" w:type="dxa"/>
          </w:tcPr>
          <w:p w:rsidR="00E022A5" w:rsidRPr="001029BE" w:rsidRDefault="00E022A5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E022A5" w:rsidRPr="001029BE" w:rsidTr="009B5DDC">
        <w:tc>
          <w:tcPr>
            <w:tcW w:w="1559" w:type="dxa"/>
          </w:tcPr>
          <w:p w:rsidR="00E022A5" w:rsidRPr="003D40BA" w:rsidRDefault="00E022A5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E022A5" w:rsidRPr="001029BE" w:rsidRDefault="00E022A5" w:rsidP="009B5DDC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835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1.88 (0.75-4.67)</w:t>
            </w:r>
          </w:p>
        </w:tc>
        <w:tc>
          <w:tcPr>
            <w:tcW w:w="1453" w:type="dxa"/>
          </w:tcPr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0.79 (0.29-2.10)</w:t>
            </w:r>
          </w:p>
        </w:tc>
        <w:tc>
          <w:tcPr>
            <w:tcW w:w="1427" w:type="dxa"/>
          </w:tcPr>
          <w:p w:rsidR="00E022A5" w:rsidRPr="001029BE" w:rsidRDefault="00E022A5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E022A5" w:rsidRPr="001029BE" w:rsidTr="009B5DDC">
        <w:tc>
          <w:tcPr>
            <w:tcW w:w="1559" w:type="dxa"/>
          </w:tcPr>
          <w:p w:rsidR="00E022A5" w:rsidRPr="003D40BA" w:rsidRDefault="00E022A5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E022A5" w:rsidRPr="001029BE" w:rsidRDefault="00E022A5" w:rsidP="009B5DDC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1835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E022A5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E022A5" w:rsidRPr="001029BE" w:rsidRDefault="00E022A5" w:rsidP="009B5DD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E022A5" w:rsidRPr="001029BE" w:rsidRDefault="00E022A5" w:rsidP="009B5DDC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Measles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  <w:r w:rsidRPr="001029BE"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  <w:t>30.2</w:t>
            </w: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6.65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(2.36-18.69)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0.92 (0.52-1.64)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1.14 (0.49-2.69)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1.23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(1.05-1.45)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3.72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(1.58-8.75)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0.90 (0.43-1.86)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40-60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2.2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6</w:t>
            </w: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-5.1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0.81 (0.34-1.92)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auto"/>
                <w:sz w:val="18"/>
                <w:lang w:val="de-AT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60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+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Mumps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28.1</w:t>
            </w: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5.14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(1.85 -14.31)</w:t>
            </w:r>
          </w:p>
        </w:tc>
        <w:tc>
          <w:tcPr>
            <w:tcW w:w="1453" w:type="dxa"/>
          </w:tcPr>
          <w:p w:rsidR="00D244F1" w:rsidRDefault="009D0A9A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9D0A9A" w:rsidRPr="001029BE" w:rsidRDefault="009D0A9A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0.88 (0.48-1.59)</w:t>
            </w:r>
          </w:p>
        </w:tc>
        <w:tc>
          <w:tcPr>
            <w:tcW w:w="1319" w:type="dxa"/>
          </w:tcPr>
          <w:p w:rsidR="00D244F1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0C451D" w:rsidRPr="001029BE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1.06 (0.44-2.53)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1.44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(1.21-1.7</w:t>
            </w:r>
            <w:r w:rsidR="000E7337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2.</w:t>
            </w:r>
            <w:r w:rsidR="009D0A9A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80</w:t>
            </w: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(1.21-6.47)</w:t>
            </w:r>
          </w:p>
        </w:tc>
        <w:tc>
          <w:tcPr>
            <w:tcW w:w="1453" w:type="dxa"/>
          </w:tcPr>
          <w:p w:rsidR="00D244F1" w:rsidRDefault="009D0A9A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9D0A9A" w:rsidRPr="001029BE" w:rsidRDefault="009D0A9A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SLE</w:t>
            </w:r>
          </w:p>
          <w:p w:rsidR="000C451D" w:rsidRPr="001029BE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0.86 (0.41-1.81)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40-60</w:t>
            </w:r>
          </w:p>
          <w:p w:rsidR="00D244F1" w:rsidRPr="001029BE" w:rsidRDefault="009D0A9A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1.18 (0.53-2.62)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SHE</w:t>
            </w:r>
          </w:p>
          <w:p w:rsidR="000C451D" w:rsidRPr="001029BE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0.61 (0.25-1.50)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60+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</w:t>
            </w:r>
          </w:p>
          <w:p w:rsidR="000C451D" w:rsidRPr="001029BE" w:rsidRDefault="000C451D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Rubella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31.9</w:t>
            </w: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5.65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(1.80-17.74)</w:t>
            </w:r>
          </w:p>
        </w:tc>
        <w:tc>
          <w:tcPr>
            <w:tcW w:w="1453" w:type="dxa"/>
          </w:tcPr>
          <w:p w:rsidR="00D244F1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1969A3" w:rsidRPr="001029BE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1.71 (0.94-3.11)</w:t>
            </w:r>
          </w:p>
        </w:tc>
        <w:tc>
          <w:tcPr>
            <w:tcW w:w="1319" w:type="dxa"/>
          </w:tcPr>
          <w:p w:rsidR="00D244F1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1969A3" w:rsidRPr="001029BE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0.85 (0.36-2.03)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1.28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(1.09-1.51)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6.21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(2.39-16.18)</w:t>
            </w:r>
          </w:p>
        </w:tc>
        <w:tc>
          <w:tcPr>
            <w:tcW w:w="1453" w:type="dxa"/>
          </w:tcPr>
          <w:p w:rsidR="00D244F1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1969A3" w:rsidRPr="001029BE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SLE</w:t>
            </w:r>
          </w:p>
          <w:p w:rsidR="001969A3" w:rsidRPr="001029BE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0.82 (0.40-1.70)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40-60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4.47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(1.81-11.00)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SHE</w:t>
            </w:r>
          </w:p>
          <w:p w:rsidR="001969A3" w:rsidRPr="001029BE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0.82 (0.35-1.92)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60+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</w:t>
            </w:r>
          </w:p>
          <w:p w:rsidR="001969A3" w:rsidRPr="001029BE" w:rsidRDefault="001969A3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TBE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56.3</w:t>
            </w:r>
          </w:p>
        </w:tc>
        <w:tc>
          <w:tcPr>
            <w:tcW w:w="1835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1.33 (0.53-3.36)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0.62 (0.37-1.05)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0.89 (0.39-2.02)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29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(1.10-1.5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1.12 (0.54-2.32)</w:t>
            </w:r>
          </w:p>
        </w:tc>
        <w:tc>
          <w:tcPr>
            <w:tcW w:w="1453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0.66 (0.33-1.35)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0.95 (0.49-1.85)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0.53 (0.24-1.20)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Influenza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10.8</w:t>
            </w: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&lt;0.001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00733F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(0.00-overflow)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0.25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(0.10-0.62)</w:t>
            </w:r>
          </w:p>
        </w:tc>
        <w:tc>
          <w:tcPr>
            <w:tcW w:w="131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0.12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(0.02-0.68)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1.52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(1.18-1.97)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0.09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(0.02-0.36)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0.43 (0.15-1.27)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40-60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0.24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(0.09-0.60)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SHE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0.71 (0.21-2.43)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60+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</w:t>
            </w:r>
          </w:p>
          <w:p w:rsidR="00D244F1" w:rsidRPr="00C258FC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C258FC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Pneumococcus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5.1</w:t>
            </w: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16-24 </w:t>
            </w:r>
          </w:p>
          <w:p w:rsidR="00D244F1" w:rsidRPr="001029BE" w:rsidRDefault="000D580B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2.21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47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10.47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89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26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3.11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0D580B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1.38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30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6.31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34 (0.95-1.87)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25-39 </w:t>
            </w:r>
          </w:p>
          <w:p w:rsidR="00D244F1" w:rsidRPr="001029BE" w:rsidRDefault="000D580B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0.40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(0.0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9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1.71</w:t>
            </w:r>
            <w:r w:rsidR="00D244F1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23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04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44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40-60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0.</w:t>
            </w:r>
            <w:r w:rsidR="000D580B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08</w:t>
            </w: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01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-0.6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8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SHE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62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12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 w:rsidR="000D580B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3.31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60+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Hepatitis A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20.7</w:t>
            </w:r>
          </w:p>
        </w:tc>
        <w:tc>
          <w:tcPr>
            <w:tcW w:w="1835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2.68 (0.80-9.05)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0.55 (0.29-1.04)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17641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0.16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 (0.04-0.59)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1.34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-1.62)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2.56 (0.95-6.93)</w:t>
            </w:r>
          </w:p>
        </w:tc>
        <w:tc>
          <w:tcPr>
            <w:tcW w:w="1453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  <w:r>
              <w:rPr>
                <w:rFonts w:cstheme="minorHAnsi"/>
                <w:sz w:val="18"/>
                <w:szCs w:val="24"/>
              </w:rPr>
              <w:br/>
              <w:t>0.58 (0.27-1.25)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2.20 (0.88-5.49)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0.61 (0.25-1.52)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FF6AA1" w:rsidRDefault="00FF6AA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D244F1" w:rsidRPr="00295D6E" w:rsidRDefault="00D244F1" w:rsidP="00D244F1">
            <w:pPr>
              <w:rPr>
                <w:rFonts w:cstheme="minorHAnsi"/>
                <w:sz w:val="18"/>
                <w:szCs w:val="24"/>
              </w:rPr>
            </w:pPr>
            <w:r w:rsidRPr="00295D6E"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lastRenderedPageBreak/>
              <w:t>Hepatitis B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4</w:t>
            </w: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18"/>
              </w:rPr>
              <w:t>7</w:t>
            </w: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16-24 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11.93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(3.58-39.72)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0.5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2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(0.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28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0.98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)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0.46 (0.18-1.19)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1.3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(1.1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-1.60)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25-39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4.70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(1.65-13.39)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male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SLE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0.47 (0.22-1.00)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40-60 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 xml:space="preserve">4.47 </w:t>
            </w: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(1.66-12.01)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SHE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0.44 (0.18-1.10)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835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 xml:space="preserve">60+ </w:t>
            </w:r>
          </w:p>
          <w:p w:rsidR="00D244F1" w:rsidRPr="00295D6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295D6E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319" w:type="dxa"/>
          </w:tcPr>
          <w:p w:rsidR="00FF6AA1" w:rsidRDefault="00FF6AA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TE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</w:tr>
      <w:tr w:rsidR="00D244F1" w:rsidRPr="00C258FC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Herpes Zoster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1.00</w:t>
            </w:r>
          </w:p>
        </w:tc>
        <w:tc>
          <w:tcPr>
            <w:tcW w:w="6034" w:type="dxa"/>
            <w:gridSpan w:val="4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results unreliable due to n=3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3D40BA"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HPV</w:t>
            </w:r>
          </w:p>
        </w:tc>
        <w:tc>
          <w:tcPr>
            <w:tcW w:w="1059" w:type="dxa"/>
          </w:tcPr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</w:rPr>
            </w:pPr>
            <w:r w:rsidRPr="001029BE">
              <w:rPr>
                <w:rFonts w:asciiTheme="minorHAnsi" w:hAnsiTheme="minorHAnsi" w:cstheme="minorHAnsi"/>
                <w:color w:val="auto"/>
                <w:sz w:val="18"/>
              </w:rPr>
              <w:t>3.7</w:t>
            </w:r>
          </w:p>
        </w:tc>
        <w:tc>
          <w:tcPr>
            <w:tcW w:w="1835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16-24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3.40 (0.25-45.95)</w:t>
            </w:r>
          </w:p>
        </w:tc>
        <w:tc>
          <w:tcPr>
            <w:tcW w:w="1453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female</w:t>
            </w:r>
          </w:p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365,676,114.95 (0.00-overflow)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(only females</w:t>
            </w:r>
          </w:p>
        </w:tc>
        <w:tc>
          <w:tcPr>
            <w:tcW w:w="1319" w:type="dxa"/>
          </w:tcPr>
          <w:p w:rsidR="00D244F1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PE</w:t>
            </w:r>
          </w:p>
          <w:p w:rsidR="00D244F1" w:rsidRPr="001029BE" w:rsidRDefault="00D244F1" w:rsidP="00D24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0.35 (0.06-2.04)</w:t>
            </w:r>
          </w:p>
        </w:tc>
        <w:tc>
          <w:tcPr>
            <w:tcW w:w="1427" w:type="dxa"/>
          </w:tcPr>
          <w:p w:rsidR="00D244F1" w:rsidRPr="001029BE" w:rsidRDefault="00D244F1" w:rsidP="00D244F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</w:rPr>
              <w:t>0.90 (0.60-1.33)</w:t>
            </w: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25-39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4.37 (0.45-42.49)</w:t>
            </w:r>
          </w:p>
        </w:tc>
        <w:tc>
          <w:tcPr>
            <w:tcW w:w="1453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male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  <w:bookmarkStart w:id="1" w:name="_GoBack"/>
            <w:bookmarkEnd w:id="1"/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SLE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0.30 (0.06-1.42)</w:t>
            </w:r>
          </w:p>
        </w:tc>
        <w:tc>
          <w:tcPr>
            <w:tcW w:w="1427" w:type="dxa"/>
          </w:tcPr>
          <w:p w:rsidR="00D244F1" w:rsidRDefault="00D244F1" w:rsidP="00D244F1">
            <w:pPr>
              <w:keepNext/>
              <w:rPr>
                <w:rFonts w:cstheme="minorHAnsi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3D40BA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40-60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1.63 (0.17-16.13)</w:t>
            </w:r>
          </w:p>
        </w:tc>
        <w:tc>
          <w:tcPr>
            <w:tcW w:w="1453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SHE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0.49 (0.08-2.95)</w:t>
            </w:r>
          </w:p>
        </w:tc>
        <w:tc>
          <w:tcPr>
            <w:tcW w:w="1427" w:type="dxa"/>
          </w:tcPr>
          <w:p w:rsidR="00D244F1" w:rsidRDefault="00D244F1" w:rsidP="00D244F1">
            <w:pPr>
              <w:keepNext/>
              <w:rPr>
                <w:rFonts w:cstheme="minorHAnsi"/>
                <w:sz w:val="18"/>
                <w:szCs w:val="24"/>
              </w:rPr>
            </w:pPr>
          </w:p>
        </w:tc>
      </w:tr>
      <w:tr w:rsidR="00D244F1" w:rsidRPr="001029BE" w:rsidTr="009B5DDC">
        <w:tc>
          <w:tcPr>
            <w:tcW w:w="15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059" w:type="dxa"/>
          </w:tcPr>
          <w:p w:rsidR="00D244F1" w:rsidRPr="001029BE" w:rsidRDefault="00D244F1" w:rsidP="00D244F1">
            <w:pPr>
              <w:rPr>
                <w:rFonts w:cstheme="minorHAnsi"/>
                <w:sz w:val="18"/>
              </w:rPr>
            </w:pPr>
          </w:p>
        </w:tc>
        <w:tc>
          <w:tcPr>
            <w:tcW w:w="1835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60+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53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319" w:type="dxa"/>
          </w:tcPr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TE</w:t>
            </w:r>
          </w:p>
          <w:p w:rsidR="00D244F1" w:rsidRDefault="00D244F1" w:rsidP="00D244F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1.0</w:t>
            </w:r>
          </w:p>
        </w:tc>
        <w:tc>
          <w:tcPr>
            <w:tcW w:w="1427" w:type="dxa"/>
          </w:tcPr>
          <w:p w:rsidR="00D244F1" w:rsidRDefault="00D244F1" w:rsidP="00D244F1">
            <w:pPr>
              <w:keepNext/>
              <w:rPr>
                <w:rFonts w:cstheme="minorHAnsi"/>
                <w:sz w:val="18"/>
                <w:szCs w:val="24"/>
              </w:rPr>
            </w:pPr>
          </w:p>
        </w:tc>
      </w:tr>
    </w:tbl>
    <w:p w:rsidR="00E92B89" w:rsidRDefault="00E92B89" w:rsidP="00E92B89">
      <w:pPr>
        <w:pStyle w:val="Beschriftung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A77883">
        <w:t xml:space="preserve">Vaccination rate (or immunity in the case of measles, mumps, or rubella) of surveyed adults and OR </w:t>
      </w:r>
      <w:r>
        <w:t>and</w:t>
      </w:r>
      <w:r w:rsidRPr="00A77883">
        <w:t xml:space="preserve"> 95% confidence interval of having been vaccinated by age, sex, education, and knowledge score (OR of having been vaccinated per single point on the kn</w:t>
      </w:r>
      <w:r>
        <w:t xml:space="preserve">owledge score), </w:t>
      </w:r>
      <w:r w:rsidR="00A27286">
        <w:t>numbers in bold are statistically significant</w:t>
      </w:r>
    </w:p>
    <w:p w:rsidR="002B66A0" w:rsidRPr="00E92B89" w:rsidRDefault="002B66A0">
      <w:pPr>
        <w:rPr>
          <w:lang w:val="en-US"/>
        </w:rPr>
      </w:pPr>
    </w:p>
    <w:sectPr w:rsidR="002B66A0" w:rsidRPr="00E92B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69" w:rsidRDefault="00760769" w:rsidP="001915A7">
      <w:pPr>
        <w:spacing w:after="0" w:line="240" w:lineRule="auto"/>
      </w:pPr>
      <w:r>
        <w:separator/>
      </w:r>
    </w:p>
  </w:endnote>
  <w:endnote w:type="continuationSeparator" w:id="0">
    <w:p w:rsidR="00760769" w:rsidRDefault="00760769" w:rsidP="0019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69" w:rsidRDefault="00760769" w:rsidP="001915A7">
      <w:pPr>
        <w:spacing w:after="0" w:line="240" w:lineRule="auto"/>
      </w:pPr>
      <w:r>
        <w:separator/>
      </w:r>
    </w:p>
  </w:footnote>
  <w:footnote w:type="continuationSeparator" w:id="0">
    <w:p w:rsidR="00760769" w:rsidRDefault="00760769" w:rsidP="0019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A7" w:rsidRPr="001915A7" w:rsidRDefault="001915A7">
    <w:pPr>
      <w:pStyle w:val="Kopfzeile"/>
      <w:rPr>
        <w:lang w:val="en-US"/>
      </w:rPr>
    </w:pPr>
    <w:r w:rsidRPr="001915A7">
      <w:rPr>
        <w:lang w:val="en-US"/>
      </w:rPr>
      <w:t>S3 Table. Towards understanding va</w:t>
    </w:r>
    <w:r>
      <w:rPr>
        <w:lang w:val="en-US"/>
      </w:rPr>
      <w:t>ccine hesitancy.</w:t>
    </w:r>
  </w:p>
  <w:p w:rsidR="001915A7" w:rsidRPr="001915A7" w:rsidRDefault="001915A7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NDcDUoYGxpYm5ko6SsGpxcWZ+XkgBWa1AOywX+IsAAAA"/>
  </w:docVars>
  <w:rsids>
    <w:rsidRoot w:val="00631F6E"/>
    <w:rsid w:val="0000733F"/>
    <w:rsid w:val="000917BF"/>
    <w:rsid w:val="000C2D1D"/>
    <w:rsid w:val="000C451D"/>
    <w:rsid w:val="000D580B"/>
    <w:rsid w:val="000E7337"/>
    <w:rsid w:val="00131004"/>
    <w:rsid w:val="001577E2"/>
    <w:rsid w:val="0016413A"/>
    <w:rsid w:val="00164157"/>
    <w:rsid w:val="001660A7"/>
    <w:rsid w:val="001915A7"/>
    <w:rsid w:val="001969A3"/>
    <w:rsid w:val="001D43A3"/>
    <w:rsid w:val="00217641"/>
    <w:rsid w:val="00295D6E"/>
    <w:rsid w:val="002B3DA7"/>
    <w:rsid w:val="002B66A0"/>
    <w:rsid w:val="00361D54"/>
    <w:rsid w:val="00364E58"/>
    <w:rsid w:val="00382717"/>
    <w:rsid w:val="003D40BA"/>
    <w:rsid w:val="004D2FD6"/>
    <w:rsid w:val="00504643"/>
    <w:rsid w:val="00631F6E"/>
    <w:rsid w:val="00644E2F"/>
    <w:rsid w:val="0070521D"/>
    <w:rsid w:val="00725F9D"/>
    <w:rsid w:val="00760769"/>
    <w:rsid w:val="008036A9"/>
    <w:rsid w:val="008409AB"/>
    <w:rsid w:val="00843892"/>
    <w:rsid w:val="00860AF0"/>
    <w:rsid w:val="0086339E"/>
    <w:rsid w:val="008D3D20"/>
    <w:rsid w:val="009477AD"/>
    <w:rsid w:val="00950DB0"/>
    <w:rsid w:val="009B5DDC"/>
    <w:rsid w:val="009C218A"/>
    <w:rsid w:val="009D0A9A"/>
    <w:rsid w:val="00A27286"/>
    <w:rsid w:val="00AF3E37"/>
    <w:rsid w:val="00B96E10"/>
    <w:rsid w:val="00C23737"/>
    <w:rsid w:val="00C258FC"/>
    <w:rsid w:val="00C60831"/>
    <w:rsid w:val="00D244F1"/>
    <w:rsid w:val="00D81E74"/>
    <w:rsid w:val="00DD6046"/>
    <w:rsid w:val="00DD747A"/>
    <w:rsid w:val="00E022A5"/>
    <w:rsid w:val="00E9036B"/>
    <w:rsid w:val="00E92B8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7356"/>
  <w15:chartTrackingRefBased/>
  <w15:docId w15:val="{31BF8E9D-AC68-40F4-91BC-CD7CAFD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2B66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92B89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b/>
      <w:bCs/>
      <w:color w:val="4472C4" w:themeColor="accent1"/>
      <w:sz w:val="18"/>
      <w:szCs w:val="18"/>
      <w:lang w:val="en-US" w:eastAsia="de-AT"/>
    </w:rPr>
  </w:style>
  <w:style w:type="paragraph" w:styleId="Kopfzeile">
    <w:name w:val="header"/>
    <w:basedOn w:val="Standard"/>
    <w:link w:val="KopfzeileZchn"/>
    <w:uiPriority w:val="99"/>
    <w:unhideWhenUsed/>
    <w:rsid w:val="0019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5A7"/>
  </w:style>
  <w:style w:type="paragraph" w:styleId="Fuzeile">
    <w:name w:val="footer"/>
    <w:basedOn w:val="Standard"/>
    <w:link w:val="FuzeileZchn"/>
    <w:uiPriority w:val="99"/>
    <w:unhideWhenUsed/>
    <w:rsid w:val="0019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Anja Keplinger</cp:lastModifiedBy>
  <cp:revision>43</cp:revision>
  <dcterms:created xsi:type="dcterms:W3CDTF">2018-09-01T07:56:00Z</dcterms:created>
  <dcterms:modified xsi:type="dcterms:W3CDTF">2019-02-14T16:44:00Z</dcterms:modified>
</cp:coreProperties>
</file>