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B58D0" w14:textId="77777777" w:rsidR="008B56B8" w:rsidRDefault="008B56B8" w:rsidP="008B56B8">
      <w:r>
        <w:t xml:space="preserve">Supplement 1: </w:t>
      </w:r>
    </w:p>
    <w:p w14:paraId="038AF4B7" w14:textId="77777777" w:rsidR="008B56B8" w:rsidRPr="00D45250" w:rsidRDefault="008B56B8" w:rsidP="008B56B8">
      <w:pPr>
        <w:rPr>
          <w:b/>
          <w:u w:val="single"/>
        </w:rPr>
      </w:pPr>
      <w:r w:rsidRPr="00D45250">
        <w:rPr>
          <w:b/>
          <w:u w:val="single"/>
        </w:rPr>
        <w:t>Detailed inclusion and exclusion criteria:</w:t>
      </w:r>
    </w:p>
    <w:p w14:paraId="04DAB918" w14:textId="77777777" w:rsidR="008B56B8" w:rsidRDefault="008B56B8" w:rsidP="008B56B8"/>
    <w:p w14:paraId="55FB926D" w14:textId="77777777" w:rsidR="008B56B8" w:rsidRPr="008B56B8" w:rsidRDefault="008B56B8" w:rsidP="008B56B8">
      <w:pPr>
        <w:rPr>
          <w:b/>
          <w:lang w:val="en-GB"/>
        </w:rPr>
      </w:pPr>
      <w:r w:rsidRPr="008B56B8">
        <w:rPr>
          <w:b/>
          <w:lang w:val="en-GB"/>
        </w:rPr>
        <w:t xml:space="preserve">Inclusion Criteria: </w:t>
      </w:r>
    </w:p>
    <w:p w14:paraId="2F2D4F18" w14:textId="77777777" w:rsidR="008B56B8" w:rsidRPr="008B56B8" w:rsidRDefault="008B56B8" w:rsidP="008B56B8">
      <w:pPr>
        <w:pStyle w:val="Listenabsatz"/>
        <w:numPr>
          <w:ilvl w:val="0"/>
          <w:numId w:val="1"/>
        </w:numPr>
        <w:rPr>
          <w:lang w:val="en-GB"/>
        </w:rPr>
      </w:pPr>
      <w:r w:rsidRPr="008B56B8">
        <w:rPr>
          <w:lang w:val="en-GB"/>
        </w:rPr>
        <w:t>Male or females</w:t>
      </w:r>
    </w:p>
    <w:p w14:paraId="784009FB" w14:textId="77777777" w:rsidR="008B56B8" w:rsidRDefault="008B56B8" w:rsidP="008B56B8">
      <w:pPr>
        <w:pStyle w:val="Listenabsatz"/>
        <w:numPr>
          <w:ilvl w:val="0"/>
          <w:numId w:val="1"/>
        </w:numPr>
        <w:rPr>
          <w:lang w:val="en-GB"/>
        </w:rPr>
      </w:pPr>
      <w:r w:rsidRPr="008B56B8">
        <w:rPr>
          <w:lang w:val="en-GB"/>
        </w:rPr>
        <w:t>Age 18-70 years</w:t>
      </w:r>
    </w:p>
    <w:p w14:paraId="4BCBE036" w14:textId="77777777" w:rsidR="008B56B8" w:rsidRDefault="008B56B8" w:rsidP="008B56B8">
      <w:pPr>
        <w:pStyle w:val="Listenabsatz"/>
        <w:numPr>
          <w:ilvl w:val="0"/>
          <w:numId w:val="1"/>
        </w:numPr>
        <w:rPr>
          <w:lang w:val="en-GB"/>
        </w:rPr>
      </w:pPr>
      <w:r w:rsidRPr="008B56B8">
        <w:rPr>
          <w:lang w:val="en-GB"/>
        </w:rPr>
        <w:t>Diagnosis of NAFLD as defined as (all of the following 5 points must apply):</w:t>
      </w:r>
    </w:p>
    <w:p w14:paraId="67656589" w14:textId="77777777" w:rsidR="00031CE3" w:rsidRDefault="00031CE3" w:rsidP="00031CE3">
      <w:pPr>
        <w:pStyle w:val="Listenabsatz"/>
        <w:numPr>
          <w:ilvl w:val="0"/>
          <w:numId w:val="3"/>
        </w:numPr>
        <w:rPr>
          <w:lang w:val="en-GB"/>
        </w:rPr>
      </w:pPr>
      <w:r w:rsidRPr="00031CE3">
        <w:rPr>
          <w:lang w:val="en-GB"/>
        </w:rPr>
        <w:t>NAFLD on liver biopsy within 2 years prior to study participation OR liver steatosis on any imaging (ultrasound, MRI, CT)</w:t>
      </w:r>
    </w:p>
    <w:p w14:paraId="37F52484" w14:textId="77777777" w:rsidR="00031CE3" w:rsidRDefault="00031CE3" w:rsidP="00031CE3">
      <w:pPr>
        <w:pStyle w:val="Listenabsatz"/>
        <w:numPr>
          <w:ilvl w:val="0"/>
          <w:numId w:val="3"/>
        </w:numPr>
        <w:rPr>
          <w:lang w:val="en-GB"/>
        </w:rPr>
      </w:pPr>
      <w:r w:rsidRPr="00031CE3">
        <w:rPr>
          <w:lang w:val="en-GB"/>
        </w:rPr>
        <w:t>Disturbed metabolic homeostasis based on impaired HOMA-IR &gt; 1</w:t>
      </w:r>
    </w:p>
    <w:p w14:paraId="5286BD6F" w14:textId="77777777" w:rsidR="00031CE3" w:rsidRDefault="00031CE3" w:rsidP="00031CE3">
      <w:pPr>
        <w:pStyle w:val="Listenabsatz"/>
        <w:numPr>
          <w:ilvl w:val="0"/>
          <w:numId w:val="3"/>
        </w:numPr>
        <w:rPr>
          <w:lang w:val="en-GB"/>
        </w:rPr>
      </w:pPr>
      <w:r w:rsidRPr="00031CE3">
        <w:rPr>
          <w:lang w:val="en-GB"/>
        </w:rPr>
        <w:t>ALT within or above the upper tertial of the ULN (ALT &lt; 45 for males, &lt; 35 for females U</w:t>
      </w:r>
      <w:r w:rsidR="00177CAC">
        <w:rPr>
          <w:lang w:val="en-GB"/>
        </w:rPr>
        <w:t xml:space="preserve">/l) </w:t>
      </w:r>
      <w:r w:rsidR="00177CAC">
        <w:rPr>
          <w:lang w:val="en-GB"/>
        </w:rPr>
        <w:tab/>
        <w:t>and/or GGT above ULN (G</w:t>
      </w:r>
      <w:bookmarkStart w:id="0" w:name="_GoBack"/>
      <w:bookmarkEnd w:id="0"/>
      <w:r w:rsidR="00177CAC">
        <w:rPr>
          <w:lang w:val="en-GB"/>
        </w:rPr>
        <w:t xml:space="preserve">GT </w:t>
      </w:r>
      <w:r w:rsidR="00177CAC" w:rsidRPr="00031CE3">
        <w:rPr>
          <w:lang w:val="en-GB"/>
        </w:rPr>
        <w:t>&gt;</w:t>
      </w:r>
      <w:r w:rsidR="00177CAC">
        <w:rPr>
          <w:lang w:val="en-GB"/>
        </w:rPr>
        <w:t xml:space="preserve"> 55 for males, </w:t>
      </w:r>
      <w:r w:rsidR="00177CAC" w:rsidRPr="00031CE3">
        <w:rPr>
          <w:lang w:val="en-GB"/>
        </w:rPr>
        <w:t>&gt;</w:t>
      </w:r>
      <w:r w:rsidRPr="00031CE3">
        <w:rPr>
          <w:lang w:val="en-GB"/>
        </w:rPr>
        <w:t xml:space="preserve"> 38 for females U/l)</w:t>
      </w:r>
    </w:p>
    <w:p w14:paraId="161E313B" w14:textId="77777777" w:rsidR="00031CE3" w:rsidRDefault="00031CE3" w:rsidP="00031CE3">
      <w:pPr>
        <w:pStyle w:val="Listenabsatz"/>
        <w:numPr>
          <w:ilvl w:val="0"/>
          <w:numId w:val="3"/>
        </w:numPr>
        <w:rPr>
          <w:lang w:val="en-GB"/>
        </w:rPr>
      </w:pPr>
      <w:r w:rsidRPr="00031CE3">
        <w:rPr>
          <w:lang w:val="en-GB"/>
        </w:rPr>
        <w:t>Steatosis &gt; 10% at CAP Fibroscan at screening</w:t>
      </w:r>
    </w:p>
    <w:p w14:paraId="1F53591C" w14:textId="77777777" w:rsidR="00031CE3" w:rsidRPr="00031CE3" w:rsidRDefault="00031CE3" w:rsidP="00031CE3">
      <w:pPr>
        <w:pStyle w:val="Listenabsatz"/>
        <w:numPr>
          <w:ilvl w:val="0"/>
          <w:numId w:val="3"/>
        </w:numPr>
        <w:rPr>
          <w:lang w:val="en-GB"/>
        </w:rPr>
      </w:pPr>
      <w:r w:rsidRPr="00031CE3">
        <w:rPr>
          <w:lang w:val="en-GB"/>
        </w:rPr>
        <w:t>Steatosis &gt; 10% equivalent to histology at 1H-MRS at baseline</w:t>
      </w:r>
    </w:p>
    <w:p w14:paraId="5B8E553F" w14:textId="77777777" w:rsidR="00031CE3" w:rsidRPr="00031CE3" w:rsidRDefault="00031CE3" w:rsidP="00031CE3">
      <w:pPr>
        <w:pStyle w:val="Listenabsatz"/>
        <w:numPr>
          <w:ilvl w:val="0"/>
          <w:numId w:val="1"/>
        </w:numPr>
        <w:rPr>
          <w:lang w:val="en-GB"/>
        </w:rPr>
      </w:pPr>
      <w:r w:rsidRPr="00031CE3">
        <w:rPr>
          <w:lang w:val="en-GB"/>
        </w:rPr>
        <w:t>Weight &gt; 65 kg</w:t>
      </w:r>
    </w:p>
    <w:p w14:paraId="7E693610" w14:textId="77777777" w:rsidR="00031CE3" w:rsidRDefault="008B56B8" w:rsidP="008B56B8">
      <w:pPr>
        <w:pStyle w:val="Listenabsatz"/>
        <w:numPr>
          <w:ilvl w:val="0"/>
          <w:numId w:val="1"/>
        </w:numPr>
        <w:rPr>
          <w:lang w:val="en-GB"/>
        </w:rPr>
      </w:pPr>
      <w:r w:rsidRPr="00031CE3">
        <w:rPr>
          <w:lang w:val="en-GB"/>
        </w:rPr>
        <w:t>BMI &gt; 25 and &lt; 40</w:t>
      </w:r>
    </w:p>
    <w:p w14:paraId="254BFE66" w14:textId="77777777" w:rsidR="00031CE3" w:rsidRDefault="008B56B8" w:rsidP="008B56B8">
      <w:pPr>
        <w:pStyle w:val="Listenabsatz"/>
        <w:numPr>
          <w:ilvl w:val="0"/>
          <w:numId w:val="1"/>
        </w:numPr>
        <w:rPr>
          <w:lang w:val="en-GB"/>
        </w:rPr>
      </w:pPr>
      <w:r w:rsidRPr="00031CE3">
        <w:rPr>
          <w:lang w:val="en-GB"/>
        </w:rPr>
        <w:t>Negative blood or urine pregnancy test (for females of childbearing potential) collected at screening followed by another negative serum pregnancy test collected within 24 hours prior to the first dose of study drug.</w:t>
      </w:r>
    </w:p>
    <w:p w14:paraId="6F6B48D2" w14:textId="77777777" w:rsidR="00031CE3" w:rsidRDefault="008B56B8" w:rsidP="00031CE3">
      <w:pPr>
        <w:pStyle w:val="Listenabsatz"/>
        <w:numPr>
          <w:ilvl w:val="0"/>
          <w:numId w:val="1"/>
        </w:numPr>
        <w:rPr>
          <w:lang w:val="en-GB"/>
        </w:rPr>
      </w:pPr>
      <w:r w:rsidRPr="00031CE3">
        <w:rPr>
          <w:lang w:val="en-GB"/>
        </w:rPr>
        <w:t xml:space="preserve">Female patients must be postmenopausal, surgically sterile, or if premenopausal, must be prepared to use at least two effective (≤1% failure rate) method of contraception during the course of the study and for 14 days after the end of dosing. Male patients with female partners of child bearing potential must be prepared to use at least two effective methods of </w:t>
      </w:r>
      <w:r w:rsidRPr="00031CE3">
        <w:rPr>
          <w:lang w:val="en-GB"/>
        </w:rPr>
        <w:lastRenderedPageBreak/>
        <w:t>contraception with all sexual partners unless they have had a prior vasectomy. Effective methods of contraception are considered to be:</w:t>
      </w:r>
    </w:p>
    <w:p w14:paraId="01D5A238" w14:textId="77777777" w:rsidR="00031CE3" w:rsidRDefault="00031CE3" w:rsidP="00031CE3">
      <w:pPr>
        <w:pStyle w:val="Listenabsatz"/>
        <w:numPr>
          <w:ilvl w:val="1"/>
          <w:numId w:val="1"/>
        </w:numPr>
        <w:rPr>
          <w:lang w:val="en-GB"/>
        </w:rPr>
      </w:pPr>
      <w:r w:rsidRPr="00031CE3">
        <w:rPr>
          <w:lang w:val="en-GB"/>
        </w:rPr>
        <w:t>Condom (male or female)</w:t>
      </w:r>
    </w:p>
    <w:p w14:paraId="7BBCF09E" w14:textId="77777777" w:rsidR="00031CE3" w:rsidRDefault="00031CE3" w:rsidP="00031CE3">
      <w:pPr>
        <w:pStyle w:val="Listenabsatz"/>
        <w:numPr>
          <w:ilvl w:val="1"/>
          <w:numId w:val="1"/>
        </w:numPr>
        <w:rPr>
          <w:lang w:val="en-GB"/>
        </w:rPr>
      </w:pPr>
      <w:r w:rsidRPr="00031CE3">
        <w:rPr>
          <w:lang w:val="en-GB"/>
        </w:rPr>
        <w:t>Diaphragm, with spermicide</w:t>
      </w:r>
    </w:p>
    <w:p w14:paraId="1A67D909" w14:textId="77777777" w:rsidR="00031CE3" w:rsidRDefault="00031CE3" w:rsidP="00031CE3">
      <w:pPr>
        <w:pStyle w:val="Listenabsatz"/>
        <w:numPr>
          <w:ilvl w:val="1"/>
          <w:numId w:val="1"/>
        </w:numPr>
        <w:rPr>
          <w:lang w:val="en-GB"/>
        </w:rPr>
      </w:pPr>
      <w:r w:rsidRPr="00031CE3">
        <w:rPr>
          <w:lang w:val="en-GB"/>
        </w:rPr>
        <w:t>Hormonal (e.g. contraceptive pill, patch, intramuscular implant or injection)</w:t>
      </w:r>
    </w:p>
    <w:p w14:paraId="1CFDED96" w14:textId="77777777" w:rsidR="00031CE3" w:rsidRDefault="00031CE3" w:rsidP="00031CE3">
      <w:pPr>
        <w:pStyle w:val="Listenabsatz"/>
        <w:numPr>
          <w:ilvl w:val="1"/>
          <w:numId w:val="1"/>
        </w:numPr>
        <w:rPr>
          <w:lang w:val="en-GB"/>
        </w:rPr>
      </w:pPr>
      <w:r w:rsidRPr="00031CE3">
        <w:rPr>
          <w:lang w:val="en-GB"/>
        </w:rPr>
        <w:t>Intrauterine device (IUD)</w:t>
      </w:r>
    </w:p>
    <w:p w14:paraId="549059A0" w14:textId="77777777" w:rsidR="00031CE3" w:rsidRPr="00031CE3" w:rsidRDefault="00031CE3" w:rsidP="00031CE3">
      <w:pPr>
        <w:pStyle w:val="Listenabsatz"/>
        <w:numPr>
          <w:ilvl w:val="1"/>
          <w:numId w:val="1"/>
        </w:numPr>
        <w:rPr>
          <w:lang w:val="en-GB"/>
        </w:rPr>
      </w:pPr>
      <w:r w:rsidRPr="00031CE3">
        <w:rPr>
          <w:lang w:val="en-GB"/>
        </w:rPr>
        <w:t>Vasectomy (partner)</w:t>
      </w:r>
    </w:p>
    <w:p w14:paraId="40CB2990" w14:textId="77777777" w:rsidR="00031CE3" w:rsidRDefault="00031CE3" w:rsidP="00031CE3">
      <w:pPr>
        <w:pStyle w:val="Listenabsatz"/>
        <w:numPr>
          <w:ilvl w:val="0"/>
          <w:numId w:val="1"/>
        </w:numPr>
        <w:rPr>
          <w:lang w:val="en-GB"/>
        </w:rPr>
      </w:pPr>
      <w:r w:rsidRPr="00031CE3">
        <w:rPr>
          <w:lang w:val="en-GB"/>
        </w:rPr>
        <w:t>Must be willing and able to give written informed consent and agree to comply with the study protocol.</w:t>
      </w:r>
    </w:p>
    <w:p w14:paraId="4D065C5E" w14:textId="77777777" w:rsidR="00031CE3" w:rsidRPr="00031CE3" w:rsidRDefault="00031CE3" w:rsidP="00031CE3">
      <w:pPr>
        <w:pStyle w:val="Listenabsatz"/>
        <w:numPr>
          <w:ilvl w:val="0"/>
          <w:numId w:val="1"/>
        </w:numPr>
        <w:rPr>
          <w:lang w:val="en-GB"/>
        </w:rPr>
      </w:pPr>
      <w:r w:rsidRPr="00031CE3">
        <w:rPr>
          <w:lang w:val="en-GB"/>
        </w:rPr>
        <w:t>Sinus rhythm in 12-lead ECG</w:t>
      </w:r>
    </w:p>
    <w:p w14:paraId="081260F0" w14:textId="77777777" w:rsidR="008B56B8" w:rsidRDefault="008B56B8" w:rsidP="008B56B8"/>
    <w:p w14:paraId="441D820C" w14:textId="77777777" w:rsidR="00031CE3" w:rsidRDefault="00031CE3" w:rsidP="008B56B8"/>
    <w:p w14:paraId="3B12DC4E" w14:textId="77777777" w:rsidR="00031CE3" w:rsidRPr="005707C4" w:rsidRDefault="00031CE3" w:rsidP="00031CE3">
      <w:pPr>
        <w:rPr>
          <w:b/>
          <w:lang w:val="en-GB"/>
        </w:rPr>
      </w:pPr>
      <w:r w:rsidRPr="005707C4">
        <w:rPr>
          <w:b/>
          <w:lang w:val="en-GB"/>
        </w:rPr>
        <w:t xml:space="preserve">Exclusion Criteria: </w:t>
      </w:r>
    </w:p>
    <w:p w14:paraId="5D9A5CEC" w14:textId="77777777" w:rsidR="00031CE3" w:rsidRPr="005707C4" w:rsidRDefault="00031CE3" w:rsidP="00031CE3">
      <w:pPr>
        <w:rPr>
          <w:u w:val="single"/>
          <w:lang w:val="en-GB"/>
        </w:rPr>
      </w:pPr>
      <w:r w:rsidRPr="005707C4">
        <w:rPr>
          <w:u w:val="single"/>
          <w:lang w:val="en-GB"/>
        </w:rPr>
        <w:t>Hepatologic (condition-specific) Exclusion Criteria:</w:t>
      </w:r>
    </w:p>
    <w:p w14:paraId="05EBB99B" w14:textId="77777777" w:rsidR="00031CE3" w:rsidRPr="00031CE3" w:rsidRDefault="00031CE3" w:rsidP="00031CE3">
      <w:pPr>
        <w:pStyle w:val="Listenabsatz"/>
        <w:numPr>
          <w:ilvl w:val="0"/>
          <w:numId w:val="1"/>
        </w:numPr>
        <w:rPr>
          <w:lang w:val="en-GB"/>
        </w:rPr>
      </w:pPr>
      <w:r w:rsidRPr="00031CE3">
        <w:rPr>
          <w:lang w:val="en-GB"/>
        </w:rPr>
        <w:t>Evidence of excessive alcohol, drug or substance abuse (excluding marijuana use) within 1 year of first dose (&gt;30g/day; 140g/week).</w:t>
      </w:r>
    </w:p>
    <w:p w14:paraId="3F3C2A0E" w14:textId="77777777" w:rsidR="00031CE3" w:rsidRDefault="00031CE3" w:rsidP="00031CE3">
      <w:pPr>
        <w:pStyle w:val="Listenabsatz"/>
        <w:numPr>
          <w:ilvl w:val="0"/>
          <w:numId w:val="1"/>
        </w:numPr>
        <w:rPr>
          <w:lang w:val="en-GB"/>
        </w:rPr>
      </w:pPr>
      <w:r w:rsidRPr="00031CE3">
        <w:rPr>
          <w:lang w:val="en-GB"/>
        </w:rPr>
        <w:t>History or other evidence of a medical condition associated with chronic liver disease other than NAFLD (e.g., hemochromatosis, viral or autoimmune hepatitis, Wilson's disease, α1-antitrypsin deficiency, alcoholic liver disease, and/or toxin exposure).</w:t>
      </w:r>
    </w:p>
    <w:p w14:paraId="02261E27" w14:textId="77777777" w:rsidR="00031CE3" w:rsidRDefault="00031CE3" w:rsidP="00031CE3">
      <w:pPr>
        <w:pStyle w:val="Listenabsatz"/>
        <w:numPr>
          <w:ilvl w:val="0"/>
          <w:numId w:val="1"/>
        </w:numPr>
        <w:rPr>
          <w:lang w:val="en-GB"/>
        </w:rPr>
      </w:pPr>
      <w:r w:rsidRPr="00031CE3">
        <w:rPr>
          <w:lang w:val="en-GB"/>
        </w:rPr>
        <w:t xml:space="preserve">History or other evidence of decompensated liver disease (Child-Pugh Grade B or higher), coagulopathy, hyperbilirubinemia, hepatic encephalopathy, hypoalbuminemia, ascites, hepatic encephalopathy, and bleeding from </w:t>
      </w:r>
      <w:proofErr w:type="spellStart"/>
      <w:r w:rsidRPr="00031CE3">
        <w:rPr>
          <w:lang w:val="en-GB"/>
        </w:rPr>
        <w:t>esophageal</w:t>
      </w:r>
      <w:proofErr w:type="spellEnd"/>
      <w:r w:rsidRPr="00031CE3">
        <w:rPr>
          <w:lang w:val="en-GB"/>
        </w:rPr>
        <w:t xml:space="preserve"> varices are conditions consistent with decompensated liver disease.</w:t>
      </w:r>
    </w:p>
    <w:p w14:paraId="0B5F6117" w14:textId="77777777" w:rsidR="00031CE3" w:rsidRPr="00031CE3" w:rsidRDefault="00031CE3" w:rsidP="00031CE3">
      <w:pPr>
        <w:pStyle w:val="Listenabsatz"/>
        <w:numPr>
          <w:ilvl w:val="0"/>
          <w:numId w:val="1"/>
        </w:numPr>
        <w:rPr>
          <w:lang w:val="en-GB"/>
        </w:rPr>
      </w:pPr>
      <w:r w:rsidRPr="00031CE3">
        <w:rPr>
          <w:lang w:val="en-GB"/>
        </w:rPr>
        <w:lastRenderedPageBreak/>
        <w:t>Concomitant intake of fibrates or statins (at least 4-6 weeks before start; considering half-life of medication).</w:t>
      </w:r>
    </w:p>
    <w:p w14:paraId="651C5532" w14:textId="77777777" w:rsidR="00031CE3" w:rsidRPr="005707C4" w:rsidRDefault="00031CE3" w:rsidP="00031CE3">
      <w:pPr>
        <w:rPr>
          <w:u w:val="single"/>
          <w:lang w:val="en-GB"/>
        </w:rPr>
      </w:pPr>
      <w:r w:rsidRPr="005707C4">
        <w:rPr>
          <w:u w:val="single"/>
          <w:lang w:val="en-GB"/>
        </w:rPr>
        <w:t>Car</w:t>
      </w:r>
      <w:r>
        <w:rPr>
          <w:u w:val="single"/>
          <w:lang w:val="en-GB"/>
        </w:rPr>
        <w:t>diovascular Exclusion Criteria:</w:t>
      </w:r>
    </w:p>
    <w:p w14:paraId="0AFD4596" w14:textId="77777777" w:rsidR="00031CE3" w:rsidRDefault="00031CE3" w:rsidP="00031CE3">
      <w:pPr>
        <w:pStyle w:val="Listenabsatz"/>
        <w:numPr>
          <w:ilvl w:val="0"/>
          <w:numId w:val="4"/>
        </w:numPr>
        <w:rPr>
          <w:lang w:val="en-GB"/>
        </w:rPr>
      </w:pPr>
      <w:r w:rsidRPr="00031CE3">
        <w:rPr>
          <w:lang w:val="en-GB"/>
        </w:rPr>
        <w:t>History of any structural cardiac disease requiring treatment:</w:t>
      </w:r>
    </w:p>
    <w:p w14:paraId="31633B4C" w14:textId="77777777" w:rsidR="00D87DBE" w:rsidRDefault="00031CE3" w:rsidP="00D87DBE">
      <w:pPr>
        <w:pStyle w:val="Listenabsatz"/>
        <w:numPr>
          <w:ilvl w:val="1"/>
          <w:numId w:val="4"/>
        </w:numPr>
        <w:rPr>
          <w:lang w:val="en-GB"/>
        </w:rPr>
      </w:pPr>
      <w:r w:rsidRPr="00031CE3">
        <w:rPr>
          <w:lang w:val="en-GB"/>
        </w:rPr>
        <w:t>Any signs or symptoms of heart failure (NYHA II-IV)</w:t>
      </w:r>
    </w:p>
    <w:p w14:paraId="46E6A81A" w14:textId="77777777" w:rsidR="00D87DBE" w:rsidRDefault="00031CE3" w:rsidP="00D87DBE">
      <w:pPr>
        <w:pStyle w:val="Listenabsatz"/>
        <w:numPr>
          <w:ilvl w:val="1"/>
          <w:numId w:val="4"/>
        </w:numPr>
        <w:rPr>
          <w:lang w:val="en-GB"/>
        </w:rPr>
      </w:pPr>
      <w:r w:rsidRPr="00D87DBE">
        <w:rPr>
          <w:lang w:val="en-GB"/>
        </w:rPr>
        <w:t>History of ventricular tachyarrhythmia requiring ongoing treatment</w:t>
      </w:r>
    </w:p>
    <w:p w14:paraId="19CBD0F4" w14:textId="77777777" w:rsidR="00D87DBE" w:rsidRDefault="00031CE3" w:rsidP="00D87DBE">
      <w:pPr>
        <w:pStyle w:val="Listenabsatz"/>
        <w:numPr>
          <w:ilvl w:val="1"/>
          <w:numId w:val="4"/>
        </w:numPr>
        <w:rPr>
          <w:lang w:val="en-GB"/>
        </w:rPr>
      </w:pPr>
      <w:r w:rsidRPr="00D87DBE">
        <w:rPr>
          <w:lang w:val="en-GB"/>
        </w:rPr>
        <w:t xml:space="preserve">History of </w:t>
      </w:r>
      <w:proofErr w:type="spellStart"/>
      <w:r w:rsidRPr="00D87DBE">
        <w:rPr>
          <w:lang w:val="en-GB"/>
        </w:rPr>
        <w:t>bradyarrhythmia</w:t>
      </w:r>
      <w:proofErr w:type="spellEnd"/>
      <w:r w:rsidRPr="00D87DBE">
        <w:rPr>
          <w:lang w:val="en-GB"/>
        </w:rPr>
        <w:t xml:space="preserve"> requiring Pacemaker treatment</w:t>
      </w:r>
    </w:p>
    <w:p w14:paraId="3B1BDC82" w14:textId="77777777" w:rsidR="00D87DBE" w:rsidRDefault="00031CE3" w:rsidP="00D87DBE">
      <w:pPr>
        <w:pStyle w:val="Listenabsatz"/>
        <w:numPr>
          <w:ilvl w:val="1"/>
          <w:numId w:val="4"/>
        </w:numPr>
        <w:rPr>
          <w:lang w:val="en-GB"/>
        </w:rPr>
      </w:pPr>
      <w:r w:rsidRPr="00D87DBE">
        <w:rPr>
          <w:lang w:val="en-GB"/>
        </w:rPr>
        <w:t>Relevant coronary artery disease</w:t>
      </w:r>
    </w:p>
    <w:p w14:paraId="36E74616" w14:textId="77777777" w:rsidR="00D87DBE" w:rsidRDefault="00031CE3" w:rsidP="00D87DBE">
      <w:pPr>
        <w:pStyle w:val="Listenabsatz"/>
        <w:numPr>
          <w:ilvl w:val="2"/>
          <w:numId w:val="4"/>
        </w:numPr>
        <w:rPr>
          <w:lang w:val="en-GB"/>
        </w:rPr>
      </w:pPr>
      <w:r w:rsidRPr="00D87DBE">
        <w:rPr>
          <w:lang w:val="en-GB"/>
        </w:rPr>
        <w:t>History of myocardial infarction</w:t>
      </w:r>
    </w:p>
    <w:p w14:paraId="6178922E" w14:textId="77777777" w:rsidR="00031CE3" w:rsidRPr="00D87DBE" w:rsidRDefault="00031CE3" w:rsidP="00D87DBE">
      <w:pPr>
        <w:pStyle w:val="Listenabsatz"/>
        <w:numPr>
          <w:ilvl w:val="2"/>
          <w:numId w:val="4"/>
        </w:numPr>
        <w:rPr>
          <w:lang w:val="en-GB"/>
        </w:rPr>
      </w:pPr>
      <w:r w:rsidRPr="00D87DBE">
        <w:rPr>
          <w:lang w:val="en-GB"/>
        </w:rPr>
        <w:t>stable or unstable angina</w:t>
      </w:r>
    </w:p>
    <w:p w14:paraId="698CE6E5" w14:textId="77777777" w:rsidR="00D87DBE" w:rsidRDefault="00D87DBE" w:rsidP="00D87DBE">
      <w:pPr>
        <w:pStyle w:val="Listenabsatz"/>
        <w:numPr>
          <w:ilvl w:val="0"/>
          <w:numId w:val="4"/>
        </w:numPr>
        <w:rPr>
          <w:lang w:val="en-GB"/>
        </w:rPr>
      </w:pPr>
      <w:r w:rsidRPr="00031CE3">
        <w:rPr>
          <w:lang w:val="en-GB"/>
        </w:rPr>
        <w:t>Any clinically relevant findings in ECG (identified via 24h-Holter ECG or 12-Lead ECG) at screening:</w:t>
      </w:r>
    </w:p>
    <w:p w14:paraId="5D82C684" w14:textId="77777777" w:rsidR="00D87DBE" w:rsidRDefault="00D87DBE" w:rsidP="00D87DBE">
      <w:pPr>
        <w:pStyle w:val="Listenabsatz"/>
        <w:numPr>
          <w:ilvl w:val="1"/>
          <w:numId w:val="4"/>
        </w:numPr>
        <w:rPr>
          <w:lang w:val="en-GB"/>
        </w:rPr>
      </w:pPr>
      <w:r w:rsidRPr="00D87DBE">
        <w:rPr>
          <w:lang w:val="en-GB"/>
        </w:rPr>
        <w:t>Conduction abnormalities</w:t>
      </w:r>
    </w:p>
    <w:p w14:paraId="7D06A24C" w14:textId="77777777" w:rsidR="00D87DBE" w:rsidRDefault="00D87DBE" w:rsidP="00D87DBE">
      <w:pPr>
        <w:pStyle w:val="Listenabsatz"/>
        <w:numPr>
          <w:ilvl w:val="2"/>
          <w:numId w:val="4"/>
        </w:numPr>
        <w:rPr>
          <w:lang w:val="en-GB"/>
        </w:rPr>
      </w:pPr>
      <w:r w:rsidRPr="00D87DBE">
        <w:rPr>
          <w:lang w:val="en-GB"/>
        </w:rPr>
        <w:t>AV-Block 2nd (Type II) or 3rd degree</w:t>
      </w:r>
    </w:p>
    <w:p w14:paraId="028D307B" w14:textId="77777777" w:rsidR="00D87DBE" w:rsidRDefault="00D87DBE" w:rsidP="00D87DBE">
      <w:pPr>
        <w:pStyle w:val="Listenabsatz"/>
        <w:numPr>
          <w:ilvl w:val="2"/>
          <w:numId w:val="4"/>
        </w:numPr>
        <w:rPr>
          <w:lang w:val="en-GB"/>
        </w:rPr>
      </w:pPr>
      <w:r w:rsidRPr="00D87DBE">
        <w:rPr>
          <w:lang w:val="en-GB"/>
        </w:rPr>
        <w:t>Pauses &gt; 3seconds</w:t>
      </w:r>
    </w:p>
    <w:p w14:paraId="7D897D53" w14:textId="77777777" w:rsidR="00D87DBE" w:rsidRDefault="00D87DBE" w:rsidP="00D87DBE">
      <w:pPr>
        <w:pStyle w:val="Listenabsatz"/>
        <w:numPr>
          <w:ilvl w:val="1"/>
          <w:numId w:val="4"/>
        </w:numPr>
        <w:rPr>
          <w:lang w:val="en-GB"/>
        </w:rPr>
      </w:pPr>
      <w:r w:rsidRPr="00D87DBE">
        <w:rPr>
          <w:lang w:val="en-GB"/>
        </w:rPr>
        <w:t>Ventricular arrhythmia</w:t>
      </w:r>
    </w:p>
    <w:p w14:paraId="1E99E486" w14:textId="77777777" w:rsidR="00D87DBE" w:rsidRDefault="00D87DBE" w:rsidP="00D87DBE">
      <w:pPr>
        <w:pStyle w:val="Listenabsatz"/>
        <w:numPr>
          <w:ilvl w:val="2"/>
          <w:numId w:val="4"/>
        </w:numPr>
        <w:rPr>
          <w:lang w:val="en-GB"/>
        </w:rPr>
      </w:pPr>
      <w:r w:rsidRPr="00D87DBE">
        <w:rPr>
          <w:lang w:val="en-GB"/>
        </w:rPr>
        <w:t>Monomorphic or polymorphic ventricular ectopic beats</w:t>
      </w:r>
      <w:r>
        <w:rPr>
          <w:lang w:val="en-GB"/>
        </w:rPr>
        <w:t xml:space="preserve"> ≥ 30 beats/ hours calculated </w:t>
      </w:r>
      <w:r w:rsidRPr="00D87DBE">
        <w:rPr>
          <w:lang w:val="en-GB"/>
        </w:rPr>
        <w:t>as mean over the continuous ECG recording period.</w:t>
      </w:r>
    </w:p>
    <w:p w14:paraId="10E0AD8B" w14:textId="77777777" w:rsidR="00D87DBE" w:rsidRPr="00D87DBE" w:rsidRDefault="00D87DBE" w:rsidP="00D87DBE">
      <w:pPr>
        <w:pStyle w:val="Listenabsatz"/>
        <w:numPr>
          <w:ilvl w:val="2"/>
          <w:numId w:val="4"/>
        </w:numPr>
        <w:rPr>
          <w:lang w:val="en-GB"/>
        </w:rPr>
      </w:pPr>
      <w:r w:rsidRPr="00D87DBE">
        <w:rPr>
          <w:lang w:val="en-GB"/>
        </w:rPr>
        <w:t xml:space="preserve">Non-sustained ventricular tachycardia (three or more </w:t>
      </w:r>
      <w:r>
        <w:rPr>
          <w:lang w:val="en-GB"/>
        </w:rPr>
        <w:t xml:space="preserve">consecutive ventricular beats </w:t>
      </w:r>
      <w:r w:rsidRPr="00D87DBE">
        <w:rPr>
          <w:lang w:val="en-GB"/>
        </w:rPr>
        <w:t>at a rate of greater than 100 beats/min)</w:t>
      </w:r>
    </w:p>
    <w:p w14:paraId="166E5E34" w14:textId="77777777" w:rsidR="00D87DBE" w:rsidRDefault="00D87DBE" w:rsidP="00D87DBE">
      <w:pPr>
        <w:pStyle w:val="Listenabsatz"/>
        <w:numPr>
          <w:ilvl w:val="1"/>
          <w:numId w:val="4"/>
        </w:numPr>
        <w:rPr>
          <w:lang w:val="en-GB"/>
        </w:rPr>
      </w:pPr>
      <w:r w:rsidRPr="00D87DBE">
        <w:rPr>
          <w:lang w:val="en-GB"/>
        </w:rPr>
        <w:t>Atrial arrhythmia</w:t>
      </w:r>
    </w:p>
    <w:p w14:paraId="2320A6EA" w14:textId="77777777" w:rsidR="00D87DBE" w:rsidRDefault="00D87DBE" w:rsidP="00D87DBE">
      <w:pPr>
        <w:pStyle w:val="Listenabsatz"/>
        <w:numPr>
          <w:ilvl w:val="2"/>
          <w:numId w:val="4"/>
        </w:numPr>
        <w:rPr>
          <w:lang w:val="en-GB"/>
        </w:rPr>
      </w:pPr>
      <w:r w:rsidRPr="00D87DBE">
        <w:rPr>
          <w:lang w:val="en-GB"/>
        </w:rPr>
        <w:t>Atrial ectopic beats ≥ 30 beats/ hours</w:t>
      </w:r>
    </w:p>
    <w:p w14:paraId="36B0376D" w14:textId="77777777" w:rsidR="00D87DBE" w:rsidRPr="00D87DBE" w:rsidRDefault="00D87DBE" w:rsidP="00D87DBE">
      <w:pPr>
        <w:pStyle w:val="Listenabsatz"/>
        <w:numPr>
          <w:ilvl w:val="2"/>
          <w:numId w:val="4"/>
        </w:numPr>
        <w:rPr>
          <w:lang w:val="en-GB"/>
        </w:rPr>
      </w:pPr>
      <w:r w:rsidRPr="00D87DBE">
        <w:rPr>
          <w:lang w:val="en-GB"/>
        </w:rPr>
        <w:t>Re-entr</w:t>
      </w:r>
      <w:r w:rsidR="00D45250">
        <w:rPr>
          <w:lang w:val="en-GB"/>
        </w:rPr>
        <w:t>y</w:t>
      </w:r>
      <w:r w:rsidRPr="00D87DBE">
        <w:rPr>
          <w:lang w:val="en-GB"/>
        </w:rPr>
        <w:t xml:space="preserve"> supraventricular tachycardia</w:t>
      </w:r>
    </w:p>
    <w:p w14:paraId="214B10F7" w14:textId="77777777" w:rsidR="00D475E7" w:rsidRPr="00D87DBE" w:rsidRDefault="00D475E7" w:rsidP="00D475E7">
      <w:pPr>
        <w:pStyle w:val="Listenabsatz"/>
        <w:numPr>
          <w:ilvl w:val="1"/>
          <w:numId w:val="4"/>
        </w:numPr>
        <w:rPr>
          <w:lang w:val="en-GB"/>
        </w:rPr>
      </w:pPr>
      <w:r w:rsidRPr="00D87DBE">
        <w:rPr>
          <w:lang w:val="en-GB"/>
        </w:rPr>
        <w:lastRenderedPageBreak/>
        <w:t>Any type of tachycardia at rest (frequency &gt;120/min at rest) in 12-lead ECG</w:t>
      </w:r>
    </w:p>
    <w:p w14:paraId="57D68854" w14:textId="77777777" w:rsidR="00D475E7" w:rsidRDefault="00D475E7" w:rsidP="00D475E7">
      <w:pPr>
        <w:pStyle w:val="Listenabsatz"/>
        <w:numPr>
          <w:ilvl w:val="1"/>
          <w:numId w:val="4"/>
        </w:numPr>
        <w:rPr>
          <w:lang w:val="en-GB"/>
        </w:rPr>
      </w:pPr>
      <w:r w:rsidRPr="00D87DBE">
        <w:rPr>
          <w:lang w:val="en-GB"/>
        </w:rPr>
        <w:t>Sinus bradycardia &lt;40 bpm as minimum recorded heart rate</w:t>
      </w:r>
      <w:r>
        <w:rPr>
          <w:lang w:val="en-GB"/>
        </w:rPr>
        <w:t xml:space="preserve"> in 12-lead ECG or bradycardia </w:t>
      </w:r>
      <w:r w:rsidRPr="00D87DBE">
        <w:rPr>
          <w:lang w:val="en-GB"/>
        </w:rPr>
        <w:t>&lt;35 bpm in 24h Holter ECG</w:t>
      </w:r>
    </w:p>
    <w:p w14:paraId="5C38EBFC" w14:textId="77777777" w:rsidR="00D475E7" w:rsidRDefault="00D475E7" w:rsidP="00031CE3">
      <w:pPr>
        <w:pStyle w:val="Listenabsatz"/>
        <w:numPr>
          <w:ilvl w:val="1"/>
          <w:numId w:val="4"/>
        </w:numPr>
        <w:rPr>
          <w:lang w:val="en-GB"/>
        </w:rPr>
      </w:pPr>
      <w:r w:rsidRPr="00D475E7">
        <w:rPr>
          <w:lang w:val="en-GB"/>
        </w:rPr>
        <w:t>Prolongation of QTc interval (QTc interval &gt; 440 ms for male s</w:t>
      </w:r>
      <w:r>
        <w:rPr>
          <w:lang w:val="en-GB"/>
        </w:rPr>
        <w:t xml:space="preserve">ubjects or &gt; 480 ms for female </w:t>
      </w:r>
      <w:r w:rsidRPr="00D475E7">
        <w:rPr>
          <w:lang w:val="en-GB"/>
        </w:rPr>
        <w:t>subjects) of &gt;10% over 24 hours using the Fri</w:t>
      </w:r>
      <w:r>
        <w:rPr>
          <w:lang w:val="en-GB"/>
        </w:rPr>
        <w:t>dericia method for QTc analysis</w:t>
      </w:r>
    </w:p>
    <w:p w14:paraId="0EC20ADA" w14:textId="77777777" w:rsidR="00D475E7" w:rsidRDefault="00031CE3" w:rsidP="00031CE3">
      <w:pPr>
        <w:pStyle w:val="Listenabsatz"/>
        <w:numPr>
          <w:ilvl w:val="0"/>
          <w:numId w:val="4"/>
        </w:numPr>
        <w:rPr>
          <w:lang w:val="en-GB"/>
        </w:rPr>
      </w:pPr>
      <w:r w:rsidRPr="00D475E7">
        <w:rPr>
          <w:lang w:val="en-GB"/>
        </w:rPr>
        <w:t>Poorly controlled hypertension, OR (2) screening or baseline blood pressure ≥ 160 mmHg for systolic OR (3) screening or baseline blood pressure ≥ 100 mmHg for diastolic blood pressure.</w:t>
      </w:r>
    </w:p>
    <w:p w14:paraId="4526FAAD" w14:textId="77777777" w:rsidR="00D475E7" w:rsidRDefault="00031CE3" w:rsidP="00031CE3">
      <w:pPr>
        <w:pStyle w:val="Listenabsatz"/>
        <w:numPr>
          <w:ilvl w:val="0"/>
          <w:numId w:val="4"/>
        </w:numPr>
        <w:rPr>
          <w:lang w:val="en-GB"/>
        </w:rPr>
      </w:pPr>
      <w:r w:rsidRPr="00D475E7">
        <w:rPr>
          <w:lang w:val="en-GB"/>
        </w:rPr>
        <w:t>History of cerebrovascular disease:</w:t>
      </w:r>
    </w:p>
    <w:p w14:paraId="036BA282" w14:textId="77777777" w:rsidR="00031CE3" w:rsidRPr="00D475E7" w:rsidRDefault="00031CE3" w:rsidP="00D475E7">
      <w:pPr>
        <w:pStyle w:val="Listenabsatz"/>
        <w:numPr>
          <w:ilvl w:val="1"/>
          <w:numId w:val="4"/>
        </w:numPr>
        <w:rPr>
          <w:lang w:val="en-GB"/>
        </w:rPr>
      </w:pPr>
      <w:r w:rsidRPr="00D475E7">
        <w:rPr>
          <w:lang w:val="en-GB"/>
        </w:rPr>
        <w:t>History of any stroke or transient ischemic attack</w:t>
      </w:r>
    </w:p>
    <w:p w14:paraId="5345F8AB" w14:textId="77777777" w:rsidR="00D475E7" w:rsidRDefault="00D475E7" w:rsidP="00031CE3">
      <w:pPr>
        <w:rPr>
          <w:lang w:val="en-GB"/>
        </w:rPr>
      </w:pPr>
    </w:p>
    <w:p w14:paraId="3E618EBD" w14:textId="77777777" w:rsidR="00031CE3" w:rsidRPr="005707C4" w:rsidRDefault="00031CE3" w:rsidP="00031CE3">
      <w:pPr>
        <w:rPr>
          <w:lang w:val="en-GB"/>
        </w:rPr>
      </w:pPr>
      <w:r w:rsidRPr="005707C4">
        <w:rPr>
          <w:lang w:val="en-GB"/>
        </w:rPr>
        <w:t>Additional Exclusion Criteria:</w:t>
      </w:r>
    </w:p>
    <w:p w14:paraId="3FADC19A" w14:textId="77777777" w:rsidR="00D475E7" w:rsidRPr="00D475E7" w:rsidRDefault="00031CE3" w:rsidP="00D475E7">
      <w:pPr>
        <w:pStyle w:val="Listenabsatz"/>
        <w:numPr>
          <w:ilvl w:val="0"/>
          <w:numId w:val="1"/>
        </w:numPr>
        <w:rPr>
          <w:lang w:val="en-GB"/>
        </w:rPr>
      </w:pPr>
      <w:r w:rsidRPr="00D475E7">
        <w:rPr>
          <w:lang w:val="en-GB"/>
        </w:rPr>
        <w:t>Type I or II diabetes with HbA1C &gt; 6.5% at screening a</w:t>
      </w:r>
      <w:r w:rsidR="00D475E7" w:rsidRPr="00D475E7">
        <w:rPr>
          <w:lang w:val="en-GB"/>
        </w:rPr>
        <w:t xml:space="preserve">nd/or fasting plasma glucose &gt; </w:t>
      </w:r>
      <w:r w:rsidRPr="00D475E7">
        <w:rPr>
          <w:lang w:val="en-GB"/>
        </w:rPr>
        <w:t>7mmol/L (&gt; 126 mg/dl)</w:t>
      </w:r>
      <w:r w:rsidR="00D475E7" w:rsidRPr="00D475E7">
        <w:rPr>
          <w:lang w:val="en-GB"/>
        </w:rPr>
        <w:t xml:space="preserve">. </w:t>
      </w:r>
    </w:p>
    <w:p w14:paraId="07E8FBBA" w14:textId="77777777" w:rsidR="00D475E7" w:rsidRDefault="00031CE3" w:rsidP="00031CE3">
      <w:pPr>
        <w:pStyle w:val="Listenabsatz"/>
        <w:numPr>
          <w:ilvl w:val="0"/>
          <w:numId w:val="1"/>
        </w:numPr>
        <w:rPr>
          <w:lang w:val="en-GB"/>
        </w:rPr>
      </w:pPr>
      <w:r w:rsidRPr="00D475E7">
        <w:rPr>
          <w:lang w:val="en-GB"/>
        </w:rPr>
        <w:t xml:space="preserve">History or other evidence of a clinically relevant ophthalmologic disorder due to diabetes </w:t>
      </w:r>
      <w:r w:rsidRPr="00D475E7">
        <w:rPr>
          <w:lang w:val="en-GB"/>
        </w:rPr>
        <w:tab/>
        <w:t xml:space="preserve">mellitus or hypertension or history or other evidence of severe retinopathy (e.g., </w:t>
      </w:r>
      <w:r w:rsidRPr="00D475E7">
        <w:rPr>
          <w:lang w:val="en-GB"/>
        </w:rPr>
        <w:tab/>
        <w:t>cytomegalovirus, macular degeneration).</w:t>
      </w:r>
    </w:p>
    <w:p w14:paraId="100DCCB0" w14:textId="77777777" w:rsidR="00D475E7" w:rsidRDefault="00031CE3" w:rsidP="00031CE3">
      <w:pPr>
        <w:pStyle w:val="Listenabsatz"/>
        <w:numPr>
          <w:ilvl w:val="0"/>
          <w:numId w:val="1"/>
        </w:numPr>
        <w:rPr>
          <w:lang w:val="en-GB"/>
        </w:rPr>
      </w:pPr>
      <w:r w:rsidRPr="00D475E7">
        <w:rPr>
          <w:lang w:val="en-GB"/>
        </w:rPr>
        <w:t>Known sensibility to any ingredients (e.g. lactose) contained in the IMP</w:t>
      </w:r>
    </w:p>
    <w:p w14:paraId="7C7245AA" w14:textId="77777777" w:rsidR="00D475E7" w:rsidRDefault="00031CE3" w:rsidP="00031CE3">
      <w:pPr>
        <w:pStyle w:val="Listenabsatz"/>
        <w:numPr>
          <w:ilvl w:val="0"/>
          <w:numId w:val="1"/>
        </w:numPr>
        <w:rPr>
          <w:lang w:val="en-GB"/>
        </w:rPr>
      </w:pPr>
      <w:r w:rsidRPr="00D475E7">
        <w:rPr>
          <w:lang w:val="en-GB"/>
        </w:rPr>
        <w:t>All conditions that do not allow MR assessments (e.g. a</w:t>
      </w:r>
      <w:r w:rsidR="00D475E7">
        <w:rPr>
          <w:lang w:val="en-GB"/>
        </w:rPr>
        <w:t xml:space="preserve">llergy towards contrast agent, </w:t>
      </w:r>
      <w:r w:rsidRPr="00D475E7">
        <w:rPr>
          <w:lang w:val="en-GB"/>
        </w:rPr>
        <w:t xml:space="preserve">claustrophobia, use or presence of: heart pacemaker, stents or </w:t>
      </w:r>
      <w:r w:rsidR="00D475E7">
        <w:rPr>
          <w:lang w:val="en-GB"/>
        </w:rPr>
        <w:t xml:space="preserve">shunts, metallic implants, ear </w:t>
      </w:r>
      <w:proofErr w:type="gramStart"/>
      <w:r w:rsidRPr="00D475E7">
        <w:rPr>
          <w:lang w:val="en-GB"/>
        </w:rPr>
        <w:t>implants,…)</w:t>
      </w:r>
      <w:proofErr w:type="gramEnd"/>
    </w:p>
    <w:p w14:paraId="46E780C5" w14:textId="77777777" w:rsidR="00D475E7" w:rsidRDefault="00031CE3" w:rsidP="00031CE3">
      <w:pPr>
        <w:pStyle w:val="Listenabsatz"/>
        <w:numPr>
          <w:ilvl w:val="0"/>
          <w:numId w:val="1"/>
        </w:numPr>
        <w:rPr>
          <w:lang w:val="en-GB"/>
        </w:rPr>
      </w:pPr>
      <w:r w:rsidRPr="00D475E7">
        <w:rPr>
          <w:lang w:val="en-GB"/>
        </w:rPr>
        <w:t>History of having received any investigational drug ≤ 3 months</w:t>
      </w:r>
      <w:r w:rsidR="00D475E7">
        <w:rPr>
          <w:lang w:val="en-GB"/>
        </w:rPr>
        <w:t xml:space="preserve"> and/or </w:t>
      </w:r>
      <w:proofErr w:type="gramStart"/>
      <w:r w:rsidR="00D475E7">
        <w:rPr>
          <w:lang w:val="en-GB"/>
        </w:rPr>
        <w:t>6 x</w:t>
      </w:r>
      <w:proofErr w:type="gramEnd"/>
      <w:r w:rsidR="00D475E7">
        <w:rPr>
          <w:lang w:val="en-GB"/>
        </w:rPr>
        <w:t xml:space="preserve"> half-life prior to </w:t>
      </w:r>
      <w:r w:rsidRPr="00D475E7">
        <w:rPr>
          <w:lang w:val="en-GB"/>
        </w:rPr>
        <w:t>the first dose of study drug or the expectation that such drugs will</w:t>
      </w:r>
      <w:r w:rsidR="00D475E7">
        <w:rPr>
          <w:lang w:val="en-GB"/>
        </w:rPr>
        <w:t xml:space="preserve"> </w:t>
      </w:r>
      <w:r w:rsidRPr="00D475E7">
        <w:rPr>
          <w:lang w:val="en-GB"/>
        </w:rPr>
        <w:lastRenderedPageBreak/>
        <w:t xml:space="preserve">be used during the study. </w:t>
      </w:r>
      <w:r w:rsidRPr="00D475E7">
        <w:rPr>
          <w:lang w:val="en-GB"/>
        </w:rPr>
        <w:tab/>
        <w:t>Patients enrolled in this study cannot be enrolled in anot</w:t>
      </w:r>
      <w:r w:rsidR="00D475E7">
        <w:rPr>
          <w:lang w:val="en-GB"/>
        </w:rPr>
        <w:t xml:space="preserve">her study for either research, </w:t>
      </w:r>
      <w:r w:rsidRPr="00D475E7">
        <w:rPr>
          <w:lang w:val="en-GB"/>
        </w:rPr>
        <w:t>diagnostic or treatment purposes.</w:t>
      </w:r>
    </w:p>
    <w:p w14:paraId="3A43E2B4" w14:textId="77777777" w:rsidR="00D475E7" w:rsidRDefault="00031CE3" w:rsidP="00031CE3">
      <w:pPr>
        <w:pStyle w:val="Listenabsatz"/>
        <w:numPr>
          <w:ilvl w:val="0"/>
          <w:numId w:val="1"/>
        </w:numPr>
        <w:rPr>
          <w:lang w:val="en-GB"/>
        </w:rPr>
      </w:pPr>
      <w:r w:rsidRPr="00D475E7">
        <w:rPr>
          <w:lang w:val="en-GB"/>
        </w:rPr>
        <w:t>Woman with childbearing potential unless using adequat</w:t>
      </w:r>
      <w:r w:rsidR="00D475E7">
        <w:rPr>
          <w:lang w:val="en-GB"/>
        </w:rPr>
        <w:t xml:space="preserve">e contraception (see inclusion </w:t>
      </w:r>
      <w:r w:rsidRPr="00D475E7">
        <w:rPr>
          <w:lang w:val="en-GB"/>
        </w:rPr>
        <w:t>criteria); females who are pregnant or breast feeding.</w:t>
      </w:r>
    </w:p>
    <w:p w14:paraId="595CE4C3" w14:textId="77777777" w:rsidR="00D475E7" w:rsidRDefault="00031CE3" w:rsidP="00031CE3">
      <w:pPr>
        <w:pStyle w:val="Listenabsatz"/>
        <w:numPr>
          <w:ilvl w:val="0"/>
          <w:numId w:val="1"/>
        </w:numPr>
        <w:rPr>
          <w:lang w:val="en-GB"/>
        </w:rPr>
      </w:pPr>
      <w:r w:rsidRPr="00D475E7">
        <w:rPr>
          <w:lang w:val="en-GB"/>
        </w:rPr>
        <w:t xml:space="preserve">History of severe allergic (e.g. history of anaphylactic reactions) or immunologically </w:t>
      </w:r>
      <w:r w:rsidRPr="00D475E7">
        <w:rPr>
          <w:lang w:val="en-GB"/>
        </w:rPr>
        <w:tab/>
        <w:t xml:space="preserve">mediated disease [(e.g., vasculitis, </w:t>
      </w:r>
      <w:proofErr w:type="spellStart"/>
      <w:r w:rsidRPr="00D475E7">
        <w:rPr>
          <w:lang w:val="en-GB"/>
        </w:rPr>
        <w:t>cryoglobulinemia</w:t>
      </w:r>
      <w:proofErr w:type="spellEnd"/>
      <w:r w:rsidRPr="00D475E7">
        <w:rPr>
          <w:lang w:val="en-GB"/>
        </w:rPr>
        <w:t xml:space="preserve">, inflammatory bowel disease, idiopathic </w:t>
      </w:r>
      <w:r w:rsidRPr="00D475E7">
        <w:rPr>
          <w:lang w:val="en-GB"/>
        </w:rPr>
        <w:tab/>
        <w:t>thrombocytopenic purpura, lupus erythematosus</w:t>
      </w:r>
      <w:r w:rsidR="00D475E7">
        <w:rPr>
          <w:lang w:val="en-GB"/>
        </w:rPr>
        <w:t xml:space="preserve">, autoimmune </w:t>
      </w:r>
      <w:proofErr w:type="spellStart"/>
      <w:r w:rsidR="00D475E7">
        <w:rPr>
          <w:lang w:val="en-GB"/>
        </w:rPr>
        <w:t>hemolytic</w:t>
      </w:r>
      <w:proofErr w:type="spellEnd"/>
      <w:r w:rsidR="00D475E7">
        <w:rPr>
          <w:lang w:val="en-GB"/>
        </w:rPr>
        <w:t xml:space="preserve"> </w:t>
      </w:r>
      <w:proofErr w:type="spellStart"/>
      <w:r w:rsidR="00D475E7">
        <w:rPr>
          <w:lang w:val="en-GB"/>
        </w:rPr>
        <w:t>anemia</w:t>
      </w:r>
      <w:proofErr w:type="spellEnd"/>
      <w:r w:rsidR="00D475E7">
        <w:rPr>
          <w:lang w:val="en-GB"/>
        </w:rPr>
        <w:t xml:space="preserve">, </w:t>
      </w:r>
      <w:r w:rsidRPr="00D475E7">
        <w:rPr>
          <w:lang w:val="en-GB"/>
        </w:rPr>
        <w:t>scleroderma, severe psoriasis (defined as affecting &gt; 10% of t</w:t>
      </w:r>
      <w:r w:rsidR="00D475E7">
        <w:rPr>
          <w:lang w:val="en-GB"/>
        </w:rPr>
        <w:t xml:space="preserve">he body, where the palm of one </w:t>
      </w:r>
      <w:r w:rsidRPr="00D475E7">
        <w:rPr>
          <w:lang w:val="en-GB"/>
        </w:rPr>
        <w:t>hand equals 1%, or if the hands and feet are affected), rheum</w:t>
      </w:r>
      <w:r w:rsidR="00D475E7">
        <w:rPr>
          <w:lang w:val="en-GB"/>
        </w:rPr>
        <w:t xml:space="preserve">atoid arthritis requiring more </w:t>
      </w:r>
      <w:r w:rsidRPr="00D475E7">
        <w:rPr>
          <w:lang w:val="en-GB"/>
        </w:rPr>
        <w:t>than intermittent nonsteroidal anti-inflammatory medications for management, etc.]</w:t>
      </w:r>
    </w:p>
    <w:p w14:paraId="5BC0F0B8" w14:textId="77777777" w:rsidR="00D475E7" w:rsidRDefault="00031CE3" w:rsidP="00031CE3">
      <w:pPr>
        <w:pStyle w:val="Listenabsatz"/>
        <w:numPr>
          <w:ilvl w:val="0"/>
          <w:numId w:val="1"/>
        </w:numPr>
        <w:rPr>
          <w:lang w:val="en-GB"/>
        </w:rPr>
      </w:pPr>
      <w:r w:rsidRPr="00D475E7">
        <w:rPr>
          <w:lang w:val="en-GB"/>
        </w:rPr>
        <w:t>Evidence of an active or suspected cancer, or a history of malignancy within the last 2 years, with the exception of patients with basal cell carcinoma that has been excised and cured.</w:t>
      </w:r>
    </w:p>
    <w:p w14:paraId="13DFA18E" w14:textId="77777777" w:rsidR="00D475E7" w:rsidRDefault="00031CE3" w:rsidP="00031CE3">
      <w:pPr>
        <w:pStyle w:val="Listenabsatz"/>
        <w:numPr>
          <w:ilvl w:val="0"/>
          <w:numId w:val="1"/>
        </w:numPr>
        <w:rPr>
          <w:lang w:val="en-GB"/>
        </w:rPr>
      </w:pPr>
      <w:r w:rsidRPr="00D475E7">
        <w:rPr>
          <w:lang w:val="en-GB"/>
        </w:rPr>
        <w:t>History of any systemic anti-neoplastic or immunom</w:t>
      </w:r>
      <w:r w:rsidR="00D475E7">
        <w:rPr>
          <w:lang w:val="en-GB"/>
        </w:rPr>
        <w:t xml:space="preserve">odulatory treatment (including </w:t>
      </w:r>
      <w:proofErr w:type="spellStart"/>
      <w:r w:rsidRPr="00D475E7">
        <w:rPr>
          <w:lang w:val="en-GB"/>
        </w:rPr>
        <w:t>supraphysiologic</w:t>
      </w:r>
      <w:proofErr w:type="spellEnd"/>
      <w:r w:rsidRPr="00D475E7">
        <w:rPr>
          <w:lang w:val="en-GB"/>
        </w:rPr>
        <w:t xml:space="preserve"> doses of steroids and radiation) 6 months pr</w:t>
      </w:r>
      <w:r w:rsidR="00D475E7">
        <w:rPr>
          <w:lang w:val="en-GB"/>
        </w:rPr>
        <w:t xml:space="preserve">ior to the first dose of study </w:t>
      </w:r>
      <w:r w:rsidRPr="00D475E7">
        <w:rPr>
          <w:lang w:val="en-GB"/>
        </w:rPr>
        <w:t>drug or the expectation that such treatment will be needed at any time during the study.</w:t>
      </w:r>
    </w:p>
    <w:p w14:paraId="05458ED8" w14:textId="77777777" w:rsidR="00D475E7" w:rsidRDefault="00031CE3" w:rsidP="00031CE3">
      <w:pPr>
        <w:pStyle w:val="Listenabsatz"/>
        <w:numPr>
          <w:ilvl w:val="0"/>
          <w:numId w:val="1"/>
        </w:numPr>
        <w:rPr>
          <w:lang w:val="en-GB"/>
        </w:rPr>
      </w:pPr>
      <w:r w:rsidRPr="00D475E7">
        <w:rPr>
          <w:lang w:val="en-GB"/>
        </w:rPr>
        <w:t>History of bleeding disorders or anticoagulant use</w:t>
      </w:r>
    </w:p>
    <w:p w14:paraId="5885A82B" w14:textId="77777777" w:rsidR="00D475E7" w:rsidRDefault="00031CE3" w:rsidP="00031CE3">
      <w:pPr>
        <w:pStyle w:val="Listenabsatz"/>
        <w:numPr>
          <w:ilvl w:val="0"/>
          <w:numId w:val="1"/>
        </w:numPr>
        <w:rPr>
          <w:lang w:val="en-GB"/>
        </w:rPr>
      </w:pPr>
      <w:r w:rsidRPr="00D475E7">
        <w:rPr>
          <w:lang w:val="en-GB"/>
        </w:rPr>
        <w:t>History or other evidence of chronic pulmonary dise</w:t>
      </w:r>
      <w:r w:rsidR="00D475E7">
        <w:rPr>
          <w:lang w:val="en-GB"/>
        </w:rPr>
        <w:t xml:space="preserve">ase associated with functional </w:t>
      </w:r>
      <w:r w:rsidRPr="00D475E7">
        <w:rPr>
          <w:lang w:val="en-GB"/>
        </w:rPr>
        <w:t>limitation.</w:t>
      </w:r>
    </w:p>
    <w:p w14:paraId="1A916033" w14:textId="77777777" w:rsidR="00D475E7" w:rsidRDefault="00031CE3" w:rsidP="00031CE3">
      <w:pPr>
        <w:pStyle w:val="Listenabsatz"/>
        <w:numPr>
          <w:ilvl w:val="0"/>
          <w:numId w:val="1"/>
        </w:numPr>
        <w:rPr>
          <w:lang w:val="en-GB"/>
        </w:rPr>
      </w:pPr>
      <w:r w:rsidRPr="00D475E7">
        <w:rPr>
          <w:lang w:val="en-GB"/>
        </w:rPr>
        <w:t>History of uncontrolled severe seizure disorder.</w:t>
      </w:r>
    </w:p>
    <w:p w14:paraId="5624518D" w14:textId="77777777" w:rsidR="00D475E7" w:rsidRDefault="00031CE3" w:rsidP="00031CE3">
      <w:pPr>
        <w:pStyle w:val="Listenabsatz"/>
        <w:numPr>
          <w:ilvl w:val="0"/>
          <w:numId w:val="1"/>
        </w:numPr>
        <w:rPr>
          <w:lang w:val="en-GB"/>
        </w:rPr>
      </w:pPr>
      <w:r w:rsidRPr="00D475E7">
        <w:rPr>
          <w:lang w:val="en-GB"/>
        </w:rPr>
        <w:t>Poorly controlled thyroid dysfunction.</w:t>
      </w:r>
    </w:p>
    <w:p w14:paraId="4A5983EF" w14:textId="77777777" w:rsidR="00D475E7" w:rsidRDefault="00031CE3" w:rsidP="00031CE3">
      <w:pPr>
        <w:pStyle w:val="Listenabsatz"/>
        <w:numPr>
          <w:ilvl w:val="0"/>
          <w:numId w:val="1"/>
        </w:numPr>
        <w:rPr>
          <w:lang w:val="en-GB"/>
        </w:rPr>
      </w:pPr>
      <w:r w:rsidRPr="00D475E7">
        <w:rPr>
          <w:lang w:val="en-GB"/>
        </w:rPr>
        <w:t>History of major organ transplantation with an existing functional graft.</w:t>
      </w:r>
    </w:p>
    <w:p w14:paraId="67274F60" w14:textId="77777777" w:rsidR="00D475E7" w:rsidRDefault="00031CE3" w:rsidP="00031CE3">
      <w:pPr>
        <w:pStyle w:val="Listenabsatz"/>
        <w:numPr>
          <w:ilvl w:val="0"/>
          <w:numId w:val="1"/>
        </w:numPr>
        <w:rPr>
          <w:lang w:val="en-GB"/>
        </w:rPr>
      </w:pPr>
      <w:r w:rsidRPr="00D475E7">
        <w:rPr>
          <w:lang w:val="en-GB"/>
        </w:rPr>
        <w:t>Any signs of acute infection or inflammation</w:t>
      </w:r>
    </w:p>
    <w:p w14:paraId="6A1CF0C3" w14:textId="77777777" w:rsidR="00D475E7" w:rsidRDefault="00031CE3" w:rsidP="00031CE3">
      <w:pPr>
        <w:pStyle w:val="Listenabsatz"/>
        <w:numPr>
          <w:ilvl w:val="0"/>
          <w:numId w:val="1"/>
        </w:numPr>
        <w:rPr>
          <w:lang w:val="en-GB"/>
        </w:rPr>
      </w:pPr>
      <w:r w:rsidRPr="00D475E7">
        <w:rPr>
          <w:lang w:val="en-GB"/>
        </w:rPr>
        <w:lastRenderedPageBreak/>
        <w:t>History or other evidence of severe illness, or any other condi</w:t>
      </w:r>
      <w:r w:rsidR="00D475E7">
        <w:rPr>
          <w:lang w:val="en-GB"/>
        </w:rPr>
        <w:t xml:space="preserve">tions which would make the </w:t>
      </w:r>
      <w:r w:rsidRPr="00D475E7">
        <w:rPr>
          <w:lang w:val="en-GB"/>
        </w:rPr>
        <w:t>patient, in the opinion of the investigator, unsuitable for the study.</w:t>
      </w:r>
    </w:p>
    <w:p w14:paraId="734D4F57" w14:textId="77777777" w:rsidR="00D475E7" w:rsidRDefault="00031CE3" w:rsidP="00031CE3">
      <w:pPr>
        <w:pStyle w:val="Listenabsatz"/>
        <w:numPr>
          <w:ilvl w:val="0"/>
          <w:numId w:val="1"/>
        </w:numPr>
        <w:rPr>
          <w:lang w:val="en-GB"/>
        </w:rPr>
      </w:pPr>
      <w:r w:rsidRPr="00D475E7">
        <w:rPr>
          <w:lang w:val="en-GB"/>
        </w:rPr>
        <w:t>Any herbal supplements containing silymarin, tocopherol, vi</w:t>
      </w:r>
      <w:r w:rsidR="00D475E7">
        <w:rPr>
          <w:lang w:val="en-GB"/>
        </w:rPr>
        <w:t xml:space="preserve">tamin C, bioflavins, </w:t>
      </w:r>
      <w:proofErr w:type="gramStart"/>
      <w:r w:rsidR="00D475E7">
        <w:rPr>
          <w:lang w:val="en-GB"/>
        </w:rPr>
        <w:t>curcumin</w:t>
      </w:r>
      <w:proofErr w:type="gramEnd"/>
      <w:r w:rsidR="00D475E7">
        <w:rPr>
          <w:lang w:val="en-GB"/>
        </w:rPr>
        <w:t xml:space="preserve"> </w:t>
      </w:r>
      <w:r w:rsidRPr="00D475E7">
        <w:rPr>
          <w:lang w:val="en-GB"/>
        </w:rPr>
        <w:t>(at least 4-6 months before the study)</w:t>
      </w:r>
      <w:r w:rsidR="00D475E7">
        <w:rPr>
          <w:lang w:val="en-GB"/>
        </w:rPr>
        <w:t>.</w:t>
      </w:r>
    </w:p>
    <w:p w14:paraId="77E9A906" w14:textId="77777777" w:rsidR="00D475E7" w:rsidRDefault="00031CE3" w:rsidP="00031CE3">
      <w:pPr>
        <w:pStyle w:val="Listenabsatz"/>
        <w:numPr>
          <w:ilvl w:val="0"/>
          <w:numId w:val="1"/>
        </w:numPr>
        <w:rPr>
          <w:lang w:val="en-GB"/>
        </w:rPr>
      </w:pPr>
      <w:r w:rsidRPr="00D475E7">
        <w:rPr>
          <w:lang w:val="en-GB"/>
        </w:rPr>
        <w:t xml:space="preserve">Positive test at screening for anti-HAV IgM Ab, </w:t>
      </w:r>
      <w:proofErr w:type="spellStart"/>
      <w:r w:rsidRPr="00D475E7">
        <w:rPr>
          <w:lang w:val="en-GB"/>
        </w:rPr>
        <w:t>HBsAg</w:t>
      </w:r>
      <w:proofErr w:type="spellEnd"/>
      <w:r w:rsidRPr="00D475E7">
        <w:rPr>
          <w:lang w:val="en-GB"/>
        </w:rPr>
        <w:t>, anti-HBc IgM Ab, or anti-HIV Ab.</w:t>
      </w:r>
    </w:p>
    <w:p w14:paraId="5A064516" w14:textId="77777777" w:rsidR="00D475E7" w:rsidRDefault="00031CE3" w:rsidP="00031CE3">
      <w:pPr>
        <w:pStyle w:val="Listenabsatz"/>
        <w:numPr>
          <w:ilvl w:val="0"/>
          <w:numId w:val="1"/>
        </w:numPr>
        <w:rPr>
          <w:lang w:val="en-GB"/>
        </w:rPr>
      </w:pPr>
      <w:r w:rsidRPr="00D475E7">
        <w:rPr>
          <w:lang w:val="en-GB"/>
        </w:rPr>
        <w:t>Subjects who have undergone surgery within the last 3 months.</w:t>
      </w:r>
    </w:p>
    <w:p w14:paraId="3D954B36" w14:textId="77777777" w:rsidR="00D475E7" w:rsidRDefault="00031CE3" w:rsidP="00031CE3">
      <w:pPr>
        <w:pStyle w:val="Listenabsatz"/>
        <w:numPr>
          <w:ilvl w:val="0"/>
          <w:numId w:val="1"/>
        </w:numPr>
        <w:rPr>
          <w:lang w:val="en-GB"/>
        </w:rPr>
      </w:pPr>
      <w:r w:rsidRPr="00D475E7">
        <w:rPr>
          <w:lang w:val="en-GB"/>
        </w:rPr>
        <w:t>Subjects who have had a prior gastrointestinal surgery.</w:t>
      </w:r>
    </w:p>
    <w:p w14:paraId="237337E0" w14:textId="77777777" w:rsidR="00D475E7" w:rsidRDefault="00031CE3" w:rsidP="00031CE3">
      <w:pPr>
        <w:pStyle w:val="Listenabsatz"/>
        <w:numPr>
          <w:ilvl w:val="0"/>
          <w:numId w:val="1"/>
        </w:numPr>
        <w:rPr>
          <w:lang w:val="en-GB"/>
        </w:rPr>
      </w:pPr>
      <w:r w:rsidRPr="00D475E7">
        <w:rPr>
          <w:lang w:val="en-GB"/>
        </w:rPr>
        <w:t>Subjects who will be unavailable for the duration of the trial</w:t>
      </w:r>
      <w:r w:rsidR="00D475E7">
        <w:rPr>
          <w:lang w:val="en-GB"/>
        </w:rPr>
        <w:t xml:space="preserve">, who are unlikely to be </w:t>
      </w:r>
      <w:r w:rsidRPr="00D475E7">
        <w:rPr>
          <w:lang w:val="en-GB"/>
        </w:rPr>
        <w:t>compliant with the protocol, or who are felt to be unsuitable by the investigator for any other reason</w:t>
      </w:r>
    </w:p>
    <w:p w14:paraId="16335D60" w14:textId="77777777" w:rsidR="008B56B8" w:rsidRPr="00D475E7" w:rsidRDefault="00031CE3" w:rsidP="00031CE3">
      <w:pPr>
        <w:pStyle w:val="Listenabsatz"/>
        <w:numPr>
          <w:ilvl w:val="0"/>
          <w:numId w:val="1"/>
        </w:numPr>
        <w:rPr>
          <w:lang w:val="en-GB"/>
        </w:rPr>
      </w:pPr>
      <w:r w:rsidRPr="00D475E7">
        <w:rPr>
          <w:lang w:val="en-GB"/>
        </w:rPr>
        <w:t>Imprisonment</w:t>
      </w:r>
    </w:p>
    <w:p w14:paraId="4B91ECEA" w14:textId="77777777" w:rsidR="008B56B8" w:rsidRDefault="008B56B8" w:rsidP="008B56B8"/>
    <w:sectPr w:rsidR="008B56B8" w:rsidSect="00925D9F">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47CDF"/>
    <w:multiLevelType w:val="hybridMultilevel"/>
    <w:tmpl w:val="12081DBE"/>
    <w:lvl w:ilvl="0" w:tplc="7B1C7F52">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nsid w:val="23467214"/>
    <w:multiLevelType w:val="hybridMultilevel"/>
    <w:tmpl w:val="82321F42"/>
    <w:lvl w:ilvl="0" w:tplc="9A180126">
      <w:start w:val="1"/>
      <w:numFmt w:val="upperRoman"/>
      <w:lvlText w:val="%1."/>
      <w:lvlJc w:val="left"/>
      <w:pPr>
        <w:ind w:left="1080" w:hanging="72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CCB196B"/>
    <w:multiLevelType w:val="hybridMultilevel"/>
    <w:tmpl w:val="06ECFB10"/>
    <w:lvl w:ilvl="0" w:tplc="7354C638">
      <w:start w:val="1"/>
      <w:numFmt w:val="decimal"/>
      <w:lvlText w:val="%1."/>
      <w:lvlJc w:val="left"/>
      <w:pPr>
        <w:ind w:left="1440" w:hanging="360"/>
      </w:pPr>
      <w:rPr>
        <w:rFonts w:hint="default"/>
      </w:r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nsid w:val="3D2B4F1F"/>
    <w:multiLevelType w:val="hybridMultilevel"/>
    <w:tmpl w:val="51B026C2"/>
    <w:lvl w:ilvl="0" w:tplc="835E3F1A">
      <w:start w:val="3"/>
      <w:numFmt w:val="bullet"/>
      <w:lvlText w:val="-"/>
      <w:lvlJc w:val="left"/>
      <w:pPr>
        <w:ind w:left="720" w:hanging="360"/>
      </w:pPr>
      <w:rPr>
        <w:rFonts w:ascii="Arial" w:eastAsiaTheme="minorEastAsia"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6B8"/>
    <w:rsid w:val="00031CE3"/>
    <w:rsid w:val="00177CAC"/>
    <w:rsid w:val="006018F9"/>
    <w:rsid w:val="006D1B14"/>
    <w:rsid w:val="008B56B8"/>
    <w:rsid w:val="00925D9F"/>
    <w:rsid w:val="00D45250"/>
    <w:rsid w:val="00D475E7"/>
    <w:rsid w:val="00D87DB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313A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56B8"/>
    <w:pPr>
      <w:spacing w:line="480" w:lineRule="auto"/>
    </w:pPr>
    <w:rPr>
      <w:rFonts w:ascii="Arial" w:hAnsi="Arial"/>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B56B8"/>
    <w:pPr>
      <w:ind w:left="720"/>
      <w:contextualSpacing/>
    </w:pPr>
  </w:style>
  <w:style w:type="character" w:styleId="Kommentarzeichen">
    <w:name w:val="annotation reference"/>
    <w:basedOn w:val="Absatzstandardschriftart"/>
    <w:uiPriority w:val="99"/>
    <w:semiHidden/>
    <w:unhideWhenUsed/>
    <w:rsid w:val="006018F9"/>
    <w:rPr>
      <w:sz w:val="16"/>
      <w:szCs w:val="16"/>
    </w:rPr>
  </w:style>
  <w:style w:type="paragraph" w:styleId="Kommentartext">
    <w:name w:val="annotation text"/>
    <w:basedOn w:val="Standard"/>
    <w:link w:val="KommentartextZeichen"/>
    <w:uiPriority w:val="99"/>
    <w:semiHidden/>
    <w:unhideWhenUsed/>
    <w:rsid w:val="006018F9"/>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6018F9"/>
    <w:rPr>
      <w:rFonts w:ascii="Arial" w:hAnsi="Arial"/>
      <w:sz w:val="20"/>
      <w:szCs w:val="20"/>
      <w:lang w:val="en-US"/>
    </w:rPr>
  </w:style>
  <w:style w:type="paragraph" w:styleId="Kommentarthema">
    <w:name w:val="annotation subject"/>
    <w:basedOn w:val="Kommentartext"/>
    <w:next w:val="Kommentartext"/>
    <w:link w:val="KommentarthemaZeichen"/>
    <w:uiPriority w:val="99"/>
    <w:semiHidden/>
    <w:unhideWhenUsed/>
    <w:rsid w:val="006018F9"/>
    <w:rPr>
      <w:b/>
      <w:bCs/>
    </w:rPr>
  </w:style>
  <w:style w:type="character" w:customStyle="1" w:styleId="KommentarthemaZeichen">
    <w:name w:val="Kommentarthema Zeichen"/>
    <w:basedOn w:val="KommentartextZeichen"/>
    <w:link w:val="Kommentarthema"/>
    <w:uiPriority w:val="99"/>
    <w:semiHidden/>
    <w:rsid w:val="006018F9"/>
    <w:rPr>
      <w:rFonts w:ascii="Arial" w:hAnsi="Arial"/>
      <w:b/>
      <w:bCs/>
      <w:sz w:val="20"/>
      <w:szCs w:val="20"/>
      <w:lang w:val="en-US"/>
    </w:rPr>
  </w:style>
  <w:style w:type="paragraph" w:styleId="Sprechblasentext">
    <w:name w:val="Balloon Text"/>
    <w:basedOn w:val="Standard"/>
    <w:link w:val="SprechblasentextZeichen"/>
    <w:uiPriority w:val="99"/>
    <w:semiHidden/>
    <w:unhideWhenUsed/>
    <w:rsid w:val="006018F9"/>
    <w:pPr>
      <w:spacing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6018F9"/>
    <w:rPr>
      <w:rFonts w:ascii="Tahoma" w:hAnsi="Tahoma" w:cs="Tahoma"/>
      <w:sz w:val="16"/>
      <w:szCs w:val="16"/>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56B8"/>
    <w:pPr>
      <w:spacing w:line="480" w:lineRule="auto"/>
    </w:pPr>
    <w:rPr>
      <w:rFonts w:ascii="Arial" w:hAnsi="Arial"/>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B56B8"/>
    <w:pPr>
      <w:ind w:left="720"/>
      <w:contextualSpacing/>
    </w:pPr>
  </w:style>
  <w:style w:type="character" w:styleId="Kommentarzeichen">
    <w:name w:val="annotation reference"/>
    <w:basedOn w:val="Absatzstandardschriftart"/>
    <w:uiPriority w:val="99"/>
    <w:semiHidden/>
    <w:unhideWhenUsed/>
    <w:rsid w:val="006018F9"/>
    <w:rPr>
      <w:sz w:val="16"/>
      <w:szCs w:val="16"/>
    </w:rPr>
  </w:style>
  <w:style w:type="paragraph" w:styleId="Kommentartext">
    <w:name w:val="annotation text"/>
    <w:basedOn w:val="Standard"/>
    <w:link w:val="KommentartextZeichen"/>
    <w:uiPriority w:val="99"/>
    <w:semiHidden/>
    <w:unhideWhenUsed/>
    <w:rsid w:val="006018F9"/>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6018F9"/>
    <w:rPr>
      <w:rFonts w:ascii="Arial" w:hAnsi="Arial"/>
      <w:sz w:val="20"/>
      <w:szCs w:val="20"/>
      <w:lang w:val="en-US"/>
    </w:rPr>
  </w:style>
  <w:style w:type="paragraph" w:styleId="Kommentarthema">
    <w:name w:val="annotation subject"/>
    <w:basedOn w:val="Kommentartext"/>
    <w:next w:val="Kommentartext"/>
    <w:link w:val="KommentarthemaZeichen"/>
    <w:uiPriority w:val="99"/>
    <w:semiHidden/>
    <w:unhideWhenUsed/>
    <w:rsid w:val="006018F9"/>
    <w:rPr>
      <w:b/>
      <w:bCs/>
    </w:rPr>
  </w:style>
  <w:style w:type="character" w:customStyle="1" w:styleId="KommentarthemaZeichen">
    <w:name w:val="Kommentarthema Zeichen"/>
    <w:basedOn w:val="KommentartextZeichen"/>
    <w:link w:val="Kommentarthema"/>
    <w:uiPriority w:val="99"/>
    <w:semiHidden/>
    <w:rsid w:val="006018F9"/>
    <w:rPr>
      <w:rFonts w:ascii="Arial" w:hAnsi="Arial"/>
      <w:b/>
      <w:bCs/>
      <w:sz w:val="20"/>
      <w:szCs w:val="20"/>
      <w:lang w:val="en-US"/>
    </w:rPr>
  </w:style>
  <w:style w:type="paragraph" w:styleId="Sprechblasentext">
    <w:name w:val="Balloon Text"/>
    <w:basedOn w:val="Standard"/>
    <w:link w:val="SprechblasentextZeichen"/>
    <w:uiPriority w:val="99"/>
    <w:semiHidden/>
    <w:unhideWhenUsed/>
    <w:rsid w:val="006018F9"/>
    <w:pPr>
      <w:spacing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6018F9"/>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988</Words>
  <Characters>6226</Characters>
  <Application>Microsoft Macintosh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MeduniWien</Company>
  <LinksUpToDate>false</LinksUpToDate>
  <CharactersWithSpaces>7200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Traussnigg</dc:creator>
  <cp:lastModifiedBy>Stefan Traussnigg</cp:lastModifiedBy>
  <cp:revision>3</cp:revision>
  <dcterms:created xsi:type="dcterms:W3CDTF">2016-12-28T13:33:00Z</dcterms:created>
  <dcterms:modified xsi:type="dcterms:W3CDTF">2018-06-27T12:47:00Z</dcterms:modified>
</cp:coreProperties>
</file>